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A644B0" w:rsidRDefault="002717D1" w:rsidP="00CF4755">
      <w:pPr>
        <w:pStyle w:val="Sinespaciado"/>
        <w:jc w:val="center"/>
        <w:rPr>
          <w:rFonts w:ascii="Edwardian Script ITC" w:hAnsi="Edwardian Script ITC"/>
          <w:b/>
          <w:sz w:val="34"/>
          <w:szCs w:val="34"/>
          <w:lang w:eastAsia="es-MX"/>
        </w:rPr>
      </w:pPr>
      <w:r w:rsidRPr="00A644B0">
        <w:rPr>
          <w:rFonts w:ascii="Edwardian Script ITC" w:hAnsi="Edwardian Script ITC"/>
          <w:b/>
          <w:sz w:val="34"/>
          <w:szCs w:val="34"/>
        </w:rPr>
        <w:t>Rama Legislativa del Poder Público</w:t>
      </w:r>
    </w:p>
    <w:p w14:paraId="70574CBC" w14:textId="77777777" w:rsidR="002717D1" w:rsidRPr="00A644B0" w:rsidRDefault="002717D1" w:rsidP="00CF4755">
      <w:pPr>
        <w:pStyle w:val="Sinespaciado"/>
        <w:jc w:val="center"/>
        <w:rPr>
          <w:rFonts w:ascii="Edwardian Script ITC" w:hAnsi="Edwardian Script ITC"/>
          <w:b/>
          <w:sz w:val="34"/>
          <w:szCs w:val="34"/>
        </w:rPr>
      </w:pPr>
      <w:r w:rsidRPr="00A644B0">
        <w:rPr>
          <w:rFonts w:ascii="Edwardian Script ITC" w:hAnsi="Edwardian Script ITC"/>
          <w:b/>
          <w:sz w:val="34"/>
          <w:szCs w:val="34"/>
        </w:rPr>
        <w:t>Comisión Séptima Constitucional Permanente</w:t>
      </w:r>
    </w:p>
    <w:p w14:paraId="6027C56D" w14:textId="77777777" w:rsidR="002717D1" w:rsidRPr="00A644B0" w:rsidRDefault="007E2AD8" w:rsidP="00CF4755">
      <w:pPr>
        <w:pStyle w:val="Sinespaciado"/>
        <w:jc w:val="center"/>
        <w:rPr>
          <w:rFonts w:ascii="Edwardian Script ITC" w:hAnsi="Edwardian Script ITC"/>
          <w:b/>
          <w:sz w:val="34"/>
          <w:szCs w:val="34"/>
        </w:rPr>
      </w:pPr>
      <w:r w:rsidRPr="00A644B0">
        <w:rPr>
          <w:rFonts w:ascii="Edwardian Script ITC" w:hAnsi="Edwardian Script ITC"/>
          <w:b/>
          <w:sz w:val="34"/>
          <w:szCs w:val="34"/>
        </w:rPr>
        <w:t>Legislatura 2021-2022</w:t>
      </w:r>
    </w:p>
    <w:p w14:paraId="70CDCD9F" w14:textId="77777777" w:rsidR="00A769D4" w:rsidRPr="00A644B0" w:rsidRDefault="00A769D4" w:rsidP="00CF4755">
      <w:pPr>
        <w:pStyle w:val="Sinespaciado"/>
        <w:jc w:val="center"/>
        <w:rPr>
          <w:rFonts w:ascii="Edwardian Script ITC" w:hAnsi="Edwardian Script ITC" w:cs="Arial"/>
          <w:b/>
          <w:sz w:val="18"/>
          <w:szCs w:val="18"/>
        </w:rPr>
      </w:pPr>
    </w:p>
    <w:p w14:paraId="426AE025" w14:textId="66E69274" w:rsidR="00AC113F" w:rsidRDefault="00E8300E" w:rsidP="00A644B0">
      <w:pPr>
        <w:pStyle w:val="Sinespaciado"/>
        <w:jc w:val="both"/>
        <w:rPr>
          <w:rFonts w:ascii="Arial" w:hAnsi="Arial" w:cs="Arial"/>
          <w:b/>
          <w:bCs/>
        </w:rPr>
      </w:pPr>
      <w:r w:rsidRPr="00A644B0">
        <w:rPr>
          <w:rFonts w:ascii="Arial" w:hAnsi="Arial" w:cs="Arial"/>
          <w:b/>
          <w:bCs/>
        </w:rPr>
        <w:t>TEXTO DEFINITIVO APROBADO EN PRIMER DEBATE DEL PROYECTO DE LEY</w:t>
      </w:r>
      <w:r w:rsidRPr="00A644B0">
        <w:rPr>
          <w:rFonts w:ascii="Arial" w:hAnsi="Arial" w:cs="Arial"/>
          <w:b/>
        </w:rPr>
        <w:t xml:space="preserve"> </w:t>
      </w:r>
      <w:r w:rsidR="00F50969" w:rsidRPr="00A644B0">
        <w:rPr>
          <w:rFonts w:ascii="Arial" w:hAnsi="Arial" w:cs="Arial"/>
          <w:b/>
          <w:bCs/>
        </w:rPr>
        <w:t xml:space="preserve">No. </w:t>
      </w:r>
      <w:r w:rsidR="00A644B0" w:rsidRPr="00A644B0">
        <w:rPr>
          <w:rFonts w:ascii="Arial" w:hAnsi="Arial" w:cs="Arial"/>
          <w:b/>
          <w:bCs/>
        </w:rPr>
        <w:t>302 DE 2021 CÁMARA “POR LA CUAL SE ESTABLECEN MEDIDAS PARA EL ABORDAJE INTEGRAL DE LA ENDOMETRIOSIS Y SE DICTAN OTRAS DISPOSICIONES”</w:t>
      </w:r>
      <w:r w:rsidR="00532977">
        <w:rPr>
          <w:rFonts w:ascii="Arial" w:hAnsi="Arial" w:cs="Arial"/>
          <w:b/>
          <w:bCs/>
        </w:rPr>
        <w:t>.</w:t>
      </w:r>
    </w:p>
    <w:p w14:paraId="6DEF3E9B" w14:textId="77777777" w:rsidR="00A644B0" w:rsidRPr="00A644B0" w:rsidRDefault="00A644B0" w:rsidP="00A644B0">
      <w:pPr>
        <w:pStyle w:val="Sinespaciado"/>
        <w:jc w:val="both"/>
        <w:rPr>
          <w:rFonts w:ascii="Arial" w:hAnsi="Arial" w:cs="Arial"/>
          <w:b/>
          <w:bCs/>
        </w:rPr>
      </w:pPr>
    </w:p>
    <w:p w14:paraId="69566137" w14:textId="15CA3DA0" w:rsidR="002717D1" w:rsidRPr="00A644B0" w:rsidRDefault="002717D1" w:rsidP="00980BFE">
      <w:pPr>
        <w:pStyle w:val="Sinespaciado"/>
        <w:jc w:val="center"/>
        <w:rPr>
          <w:rFonts w:ascii="Arial" w:hAnsi="Arial" w:cs="Arial"/>
        </w:rPr>
      </w:pPr>
      <w:r w:rsidRPr="00A644B0">
        <w:rPr>
          <w:rFonts w:ascii="Arial" w:hAnsi="Arial" w:cs="Arial"/>
        </w:rPr>
        <w:t xml:space="preserve">(Aprobado en la </w:t>
      </w:r>
      <w:r w:rsidR="004C6DF0" w:rsidRPr="00A644B0">
        <w:rPr>
          <w:rFonts w:ascii="Arial" w:hAnsi="Arial" w:cs="Arial"/>
        </w:rPr>
        <w:t xml:space="preserve">Sesión </w:t>
      </w:r>
      <w:r w:rsidR="00503697" w:rsidRPr="00A644B0">
        <w:rPr>
          <w:rFonts w:ascii="Arial" w:hAnsi="Arial" w:cs="Arial"/>
        </w:rPr>
        <w:t>presencial</w:t>
      </w:r>
      <w:r w:rsidR="00E77D6C" w:rsidRPr="00A644B0">
        <w:rPr>
          <w:rFonts w:ascii="Arial" w:hAnsi="Arial" w:cs="Arial"/>
        </w:rPr>
        <w:t xml:space="preserve"> </w:t>
      </w:r>
      <w:r w:rsidRPr="00A644B0">
        <w:rPr>
          <w:rFonts w:ascii="Arial" w:hAnsi="Arial" w:cs="Arial"/>
        </w:rPr>
        <w:t>de</w:t>
      </w:r>
      <w:r w:rsidR="006B757E" w:rsidRPr="00A644B0">
        <w:rPr>
          <w:rFonts w:ascii="Arial" w:hAnsi="Arial" w:cs="Arial"/>
        </w:rPr>
        <w:t xml:space="preserve">l </w:t>
      </w:r>
      <w:r w:rsidR="00F50969" w:rsidRPr="00A644B0">
        <w:rPr>
          <w:rFonts w:ascii="Arial" w:hAnsi="Arial" w:cs="Arial"/>
        </w:rPr>
        <w:t>14</w:t>
      </w:r>
      <w:r w:rsidR="008D5A55" w:rsidRPr="00A644B0">
        <w:rPr>
          <w:rFonts w:ascii="Arial" w:hAnsi="Arial" w:cs="Arial"/>
        </w:rPr>
        <w:t xml:space="preserve"> </w:t>
      </w:r>
      <w:r w:rsidR="007E2AD8" w:rsidRPr="00A644B0">
        <w:rPr>
          <w:rFonts w:ascii="Arial" w:hAnsi="Arial" w:cs="Arial"/>
        </w:rPr>
        <w:t xml:space="preserve">de </w:t>
      </w:r>
      <w:r w:rsidR="00C67FD9" w:rsidRPr="00A644B0">
        <w:rPr>
          <w:rFonts w:ascii="Arial" w:hAnsi="Arial" w:cs="Arial"/>
        </w:rPr>
        <w:t>diciembre</w:t>
      </w:r>
      <w:r w:rsidR="0011513A" w:rsidRPr="00A644B0">
        <w:rPr>
          <w:rFonts w:ascii="Arial" w:hAnsi="Arial" w:cs="Arial"/>
        </w:rPr>
        <w:t xml:space="preserve"> de 2021</w:t>
      </w:r>
      <w:r w:rsidR="00282D98" w:rsidRPr="00A644B0">
        <w:rPr>
          <w:rFonts w:ascii="Arial" w:hAnsi="Arial" w:cs="Arial"/>
        </w:rPr>
        <w:t>,</w:t>
      </w:r>
      <w:r w:rsidRPr="00A644B0">
        <w:rPr>
          <w:rFonts w:ascii="Arial" w:hAnsi="Arial" w:cs="Arial"/>
        </w:rPr>
        <w:t xml:space="preserve"> Comisión VII </w:t>
      </w:r>
      <w:r w:rsidR="00282D98" w:rsidRPr="00A644B0">
        <w:rPr>
          <w:rFonts w:ascii="Arial" w:hAnsi="Arial" w:cs="Arial"/>
        </w:rPr>
        <w:t xml:space="preserve">Constitucional Permanente </w:t>
      </w:r>
      <w:r w:rsidRPr="00A644B0">
        <w:rPr>
          <w:rFonts w:ascii="Arial" w:hAnsi="Arial" w:cs="Arial"/>
        </w:rPr>
        <w:t>de la H. Cámara de Representantes, Acta No.</w:t>
      </w:r>
      <w:r w:rsidR="006B757E" w:rsidRPr="00A644B0">
        <w:rPr>
          <w:rFonts w:ascii="Arial" w:hAnsi="Arial" w:cs="Arial"/>
        </w:rPr>
        <w:t xml:space="preserve"> </w:t>
      </w:r>
      <w:r w:rsidR="00F50969" w:rsidRPr="00A644B0">
        <w:rPr>
          <w:rFonts w:ascii="Arial" w:hAnsi="Arial" w:cs="Arial"/>
        </w:rPr>
        <w:t>35</w:t>
      </w:r>
      <w:r w:rsidRPr="00A644B0">
        <w:rPr>
          <w:rFonts w:ascii="Arial" w:hAnsi="Arial" w:cs="Arial"/>
        </w:rPr>
        <w:t>)</w:t>
      </w:r>
    </w:p>
    <w:p w14:paraId="31DC5EDC" w14:textId="77777777" w:rsidR="00E24232" w:rsidRPr="00A644B0" w:rsidRDefault="00E24232" w:rsidP="00980BFE">
      <w:pPr>
        <w:pStyle w:val="Sinespaciado"/>
        <w:jc w:val="both"/>
        <w:rPr>
          <w:rFonts w:ascii="Arial" w:hAnsi="Arial" w:cs="Arial"/>
        </w:rPr>
      </w:pPr>
    </w:p>
    <w:p w14:paraId="6E2FFCA1" w14:textId="77777777" w:rsidR="001C7B89" w:rsidRPr="00A644B0" w:rsidRDefault="001C7B89" w:rsidP="006F5511">
      <w:pPr>
        <w:pStyle w:val="Sinespaciado"/>
        <w:jc w:val="center"/>
        <w:rPr>
          <w:rFonts w:ascii="Arial" w:hAnsi="Arial" w:cs="Arial"/>
          <w:b/>
        </w:rPr>
      </w:pPr>
      <w:r w:rsidRPr="00A644B0">
        <w:rPr>
          <w:rFonts w:ascii="Arial" w:hAnsi="Arial" w:cs="Arial"/>
          <w:b/>
        </w:rPr>
        <w:t>EL CONGRESO DE COLOMBIA</w:t>
      </w:r>
    </w:p>
    <w:p w14:paraId="41FB9D1B" w14:textId="77777777" w:rsidR="00CE617B" w:rsidRPr="00A644B0" w:rsidRDefault="00CE617B" w:rsidP="006F5511">
      <w:pPr>
        <w:pStyle w:val="Sinespaciado"/>
        <w:jc w:val="center"/>
        <w:rPr>
          <w:rFonts w:ascii="Arial" w:hAnsi="Arial" w:cs="Arial"/>
          <w:b/>
        </w:rPr>
      </w:pPr>
    </w:p>
    <w:p w14:paraId="68426BFB" w14:textId="3E8C3269" w:rsidR="00A644B0" w:rsidRDefault="00EA48F0" w:rsidP="00837E40">
      <w:pPr>
        <w:pStyle w:val="Sinespaciado"/>
        <w:jc w:val="center"/>
        <w:rPr>
          <w:rFonts w:ascii="Arial" w:hAnsi="Arial" w:cs="Arial"/>
          <w:b/>
        </w:rPr>
      </w:pPr>
      <w:r w:rsidRPr="00A644B0">
        <w:rPr>
          <w:rFonts w:ascii="Arial" w:hAnsi="Arial" w:cs="Arial"/>
          <w:b/>
        </w:rPr>
        <w:t>DECRETA:</w:t>
      </w:r>
    </w:p>
    <w:p w14:paraId="2376C682" w14:textId="77777777" w:rsidR="00837E40" w:rsidRPr="00837E40" w:rsidRDefault="00837E40" w:rsidP="00837E40">
      <w:pPr>
        <w:pStyle w:val="Sinespaciado"/>
        <w:jc w:val="center"/>
        <w:rPr>
          <w:rFonts w:ascii="Arial" w:hAnsi="Arial" w:cs="Arial"/>
          <w:b/>
        </w:rPr>
      </w:pPr>
    </w:p>
    <w:p w14:paraId="57357D82" w14:textId="77777777" w:rsidR="00A644B0" w:rsidRPr="00532977" w:rsidRDefault="00A644B0" w:rsidP="00532977">
      <w:pPr>
        <w:pStyle w:val="Sinespaciado"/>
        <w:jc w:val="both"/>
        <w:rPr>
          <w:rFonts w:ascii="Arial" w:hAnsi="Arial" w:cs="Arial"/>
        </w:rPr>
      </w:pPr>
      <w:r w:rsidRPr="00532977">
        <w:rPr>
          <w:rFonts w:ascii="Arial" w:hAnsi="Arial" w:cs="Arial"/>
        </w:rPr>
        <w:t>La presente ley tiene por objeto establecer los principios, contenidos y disposiciones de la Política Pública de prevención, acceso completo a la detección, diagnóstico temprano, estudios, control, tratamiento y terapias necesarias para el abordaje integral de la endometriosis y garantizar los derechos de las personas con diagnóstico o presunción de endometriosis, así como su concientización en la población.</w:t>
      </w:r>
    </w:p>
    <w:p w14:paraId="7B7C1B71" w14:textId="77777777" w:rsidR="00532977" w:rsidRDefault="00532977" w:rsidP="00532977">
      <w:pPr>
        <w:pStyle w:val="Sinespaciado"/>
        <w:jc w:val="both"/>
        <w:rPr>
          <w:rFonts w:ascii="Arial" w:hAnsi="Arial" w:cs="Arial"/>
          <w:b/>
        </w:rPr>
      </w:pPr>
    </w:p>
    <w:p w14:paraId="3A1CD1B3" w14:textId="1085E3AD" w:rsidR="00A644B0" w:rsidRPr="00532977" w:rsidRDefault="00A644B0" w:rsidP="00532977">
      <w:pPr>
        <w:pStyle w:val="Sinespaciado"/>
        <w:jc w:val="both"/>
        <w:rPr>
          <w:rFonts w:ascii="Arial" w:hAnsi="Arial" w:cs="Arial"/>
        </w:rPr>
      </w:pPr>
      <w:r w:rsidRPr="00532977">
        <w:rPr>
          <w:rFonts w:ascii="Arial" w:hAnsi="Arial" w:cs="Arial"/>
          <w:b/>
        </w:rPr>
        <w:t>ARTÍCULO 2o. DEFINICIONES.</w:t>
      </w:r>
      <w:r w:rsidRPr="00532977">
        <w:rPr>
          <w:rFonts w:ascii="Arial" w:hAnsi="Arial" w:cs="Arial"/>
        </w:rPr>
        <w:t xml:space="preserve"> Para efectos de la presente ley se comprenderán las</w:t>
      </w:r>
    </w:p>
    <w:p w14:paraId="7EA581F6" w14:textId="77777777" w:rsidR="00A644B0" w:rsidRPr="00532977" w:rsidRDefault="00A644B0" w:rsidP="00532977">
      <w:pPr>
        <w:pStyle w:val="Sinespaciado"/>
        <w:jc w:val="both"/>
        <w:rPr>
          <w:rFonts w:ascii="Arial" w:hAnsi="Arial" w:cs="Arial"/>
        </w:rPr>
      </w:pPr>
      <w:r w:rsidRPr="00532977">
        <w:rPr>
          <w:rFonts w:ascii="Arial" w:hAnsi="Arial" w:cs="Arial"/>
        </w:rPr>
        <w:t>siguientes definiciones:</w:t>
      </w:r>
    </w:p>
    <w:p w14:paraId="14BA6DA6" w14:textId="77777777" w:rsidR="00532977" w:rsidRDefault="00532977" w:rsidP="00532977">
      <w:pPr>
        <w:pStyle w:val="Sinespaciado"/>
        <w:jc w:val="both"/>
        <w:rPr>
          <w:rFonts w:ascii="Arial" w:hAnsi="Arial" w:cs="Arial"/>
        </w:rPr>
      </w:pPr>
    </w:p>
    <w:p w14:paraId="786D6093" w14:textId="371FB07D" w:rsidR="00A644B0" w:rsidRPr="00532977" w:rsidRDefault="00A644B0" w:rsidP="00532977">
      <w:pPr>
        <w:pStyle w:val="Sinespaciado"/>
        <w:jc w:val="both"/>
        <w:rPr>
          <w:rFonts w:ascii="Arial" w:hAnsi="Arial" w:cs="Arial"/>
        </w:rPr>
      </w:pPr>
      <w:r w:rsidRPr="00532977">
        <w:rPr>
          <w:rFonts w:ascii="Arial" w:hAnsi="Arial" w:cs="Arial"/>
        </w:rPr>
        <w:t>1) ENDOMETRIOSIS. Enfermedad ginecológica y sistémica de origen multifactorial</w:t>
      </w:r>
      <w:r w:rsidR="00532977">
        <w:rPr>
          <w:rFonts w:ascii="Arial" w:hAnsi="Arial" w:cs="Arial"/>
        </w:rPr>
        <w:t xml:space="preserve"> </w:t>
      </w:r>
      <w:r w:rsidRPr="00532977">
        <w:rPr>
          <w:rFonts w:ascii="Arial" w:hAnsi="Arial" w:cs="Arial"/>
        </w:rPr>
        <w:t>donde el endometrio (tejido que recubre la parte interna del útero) se implanta y crece</w:t>
      </w:r>
      <w:r w:rsidR="00532977">
        <w:rPr>
          <w:rFonts w:ascii="Arial" w:hAnsi="Arial" w:cs="Arial"/>
        </w:rPr>
        <w:t xml:space="preserve"> </w:t>
      </w:r>
      <w:r w:rsidRPr="00532977">
        <w:rPr>
          <w:rFonts w:ascii="Arial" w:hAnsi="Arial" w:cs="Arial"/>
        </w:rPr>
        <w:t>fuera de este con diferentes abordajes terapéuticos con base en su tipo: Tipo I</w:t>
      </w:r>
      <w:r w:rsidR="00532977">
        <w:rPr>
          <w:rFonts w:ascii="Arial" w:hAnsi="Arial" w:cs="Arial"/>
        </w:rPr>
        <w:t xml:space="preserve"> </w:t>
      </w:r>
      <w:r w:rsidRPr="00532977">
        <w:rPr>
          <w:rFonts w:ascii="Arial" w:hAnsi="Arial" w:cs="Arial"/>
        </w:rPr>
        <w:t>(endometriosis peritoneal superficial), Grado II (endometriosis ovárica) y Grado III</w:t>
      </w:r>
      <w:r w:rsidR="00532977">
        <w:rPr>
          <w:rFonts w:ascii="Arial" w:hAnsi="Arial" w:cs="Arial"/>
        </w:rPr>
        <w:t xml:space="preserve"> </w:t>
      </w:r>
      <w:r w:rsidRPr="00532977">
        <w:rPr>
          <w:rFonts w:ascii="Arial" w:hAnsi="Arial" w:cs="Arial"/>
        </w:rPr>
        <w:t>(endometriosis profunda).</w:t>
      </w:r>
    </w:p>
    <w:p w14:paraId="4819DF37" w14:textId="77777777" w:rsidR="00532977" w:rsidRDefault="00532977" w:rsidP="00532977">
      <w:pPr>
        <w:pStyle w:val="Sinespaciado"/>
        <w:jc w:val="both"/>
        <w:rPr>
          <w:rFonts w:ascii="Arial" w:hAnsi="Arial" w:cs="Arial"/>
        </w:rPr>
      </w:pPr>
    </w:p>
    <w:p w14:paraId="4D871F8F" w14:textId="5B64DEC1" w:rsidR="00A644B0" w:rsidRPr="00532977" w:rsidRDefault="00A644B0" w:rsidP="00532977">
      <w:pPr>
        <w:pStyle w:val="Sinespaciado"/>
        <w:jc w:val="both"/>
        <w:rPr>
          <w:rFonts w:ascii="Arial" w:hAnsi="Arial" w:cs="Arial"/>
        </w:rPr>
      </w:pPr>
      <w:r w:rsidRPr="00532977">
        <w:rPr>
          <w:rFonts w:ascii="Arial" w:hAnsi="Arial" w:cs="Arial"/>
        </w:rPr>
        <w:t>2) ABORDAJE INTEGRAL. Es el conjunto de tecnologías, exámenes, procedimientos,</w:t>
      </w:r>
      <w:r w:rsidR="00532977">
        <w:rPr>
          <w:rFonts w:ascii="Arial" w:hAnsi="Arial" w:cs="Arial"/>
        </w:rPr>
        <w:t xml:space="preserve"> </w:t>
      </w:r>
      <w:r w:rsidRPr="00532977">
        <w:rPr>
          <w:rFonts w:ascii="Arial" w:hAnsi="Arial" w:cs="Arial"/>
        </w:rPr>
        <w:t>tratamientos, medicamentos, controles y seguimientos médicos con acceso oportuno,</w:t>
      </w:r>
      <w:r w:rsidR="00532977">
        <w:rPr>
          <w:rFonts w:ascii="Arial" w:hAnsi="Arial" w:cs="Arial"/>
        </w:rPr>
        <w:t xml:space="preserve"> </w:t>
      </w:r>
      <w:r w:rsidRPr="00532977">
        <w:rPr>
          <w:rFonts w:ascii="Arial" w:hAnsi="Arial" w:cs="Arial"/>
        </w:rPr>
        <w:t>dentro de los tiempos establecidos por el médico tratante.</w:t>
      </w:r>
    </w:p>
    <w:p w14:paraId="2AA896A9" w14:textId="77777777" w:rsidR="00532977" w:rsidRDefault="00532977" w:rsidP="00532977">
      <w:pPr>
        <w:pStyle w:val="Sinespaciado"/>
        <w:jc w:val="both"/>
        <w:rPr>
          <w:rFonts w:ascii="Arial" w:hAnsi="Arial" w:cs="Arial"/>
          <w:highlight w:val="white"/>
        </w:rPr>
      </w:pPr>
    </w:p>
    <w:p w14:paraId="53D2913B" w14:textId="23951DE5" w:rsidR="00A644B0" w:rsidRPr="00532977" w:rsidRDefault="00A644B0" w:rsidP="00532977">
      <w:pPr>
        <w:pStyle w:val="Sinespaciado"/>
        <w:jc w:val="both"/>
        <w:rPr>
          <w:rFonts w:ascii="Arial" w:hAnsi="Arial" w:cs="Arial"/>
        </w:rPr>
      </w:pPr>
      <w:r w:rsidRPr="00532977">
        <w:rPr>
          <w:rFonts w:ascii="Arial" w:hAnsi="Arial" w:cs="Arial"/>
          <w:highlight w:val="white"/>
        </w:rPr>
        <w:t>3) ATENCIÓN PRIORITARIA Y CONTINUADA: Es la prestación de todos los servicios médicos o no médicos, de manera prevalente, sin dilaciones y demoras o barreras de ningún tipo.</w:t>
      </w:r>
    </w:p>
    <w:p w14:paraId="1E88E41B" w14:textId="77777777" w:rsidR="00532977" w:rsidRDefault="00532977" w:rsidP="00532977">
      <w:pPr>
        <w:pStyle w:val="Sinespaciado"/>
        <w:jc w:val="both"/>
        <w:rPr>
          <w:rFonts w:ascii="Arial" w:hAnsi="Arial" w:cs="Arial"/>
          <w:b/>
        </w:rPr>
      </w:pPr>
    </w:p>
    <w:p w14:paraId="501A6DEF" w14:textId="36190BE6" w:rsidR="00A644B0" w:rsidRPr="00532977" w:rsidRDefault="00D405CA" w:rsidP="00532977">
      <w:pPr>
        <w:pStyle w:val="Sinespaciado"/>
        <w:jc w:val="both"/>
        <w:rPr>
          <w:rFonts w:ascii="Arial" w:hAnsi="Arial" w:cs="Arial"/>
        </w:rPr>
      </w:pPr>
      <w:r w:rsidRPr="00D405CA">
        <w:rPr>
          <w:rFonts w:ascii="Arial" w:hAnsi="Arial" w:cs="Arial"/>
          <w:b/>
        </w:rPr>
        <w:t>ARTÍCULO 3O. RECONOCIMIENTO DE LA ENDOMETRIOSIS COMO ENFERMEDAD CRÓNICA, INCAPACITANTE Y/O DISCAPACITANTE</w:t>
      </w:r>
      <w:r w:rsidR="00A644B0" w:rsidRPr="00532977">
        <w:rPr>
          <w:rFonts w:ascii="Arial" w:hAnsi="Arial" w:cs="Arial"/>
        </w:rPr>
        <w:t xml:space="preserve">. </w:t>
      </w:r>
    </w:p>
    <w:p w14:paraId="07D12B88" w14:textId="77777777" w:rsidR="00532977" w:rsidRDefault="00532977" w:rsidP="00532977">
      <w:pPr>
        <w:pStyle w:val="Sinespaciado"/>
        <w:jc w:val="both"/>
        <w:rPr>
          <w:rFonts w:ascii="Arial" w:hAnsi="Arial" w:cs="Arial"/>
        </w:rPr>
      </w:pPr>
    </w:p>
    <w:p w14:paraId="20F83A13" w14:textId="47C26608" w:rsidR="00A644B0" w:rsidRPr="00532977" w:rsidRDefault="00A644B0" w:rsidP="00532977">
      <w:pPr>
        <w:pStyle w:val="Sinespaciado"/>
        <w:jc w:val="both"/>
        <w:rPr>
          <w:rFonts w:ascii="Arial" w:hAnsi="Arial" w:cs="Arial"/>
        </w:rPr>
      </w:pPr>
      <w:r w:rsidRPr="00532977">
        <w:rPr>
          <w:rFonts w:ascii="Arial" w:hAnsi="Arial" w:cs="Arial"/>
        </w:rPr>
        <w:t>Declárase la endometriosis como enfermedad crónica, incapacitante y/o discapacitante, que reduce la autonomía de las personas que la padecen y afecta en forma negativa y directa su calidad de vida.</w:t>
      </w:r>
    </w:p>
    <w:p w14:paraId="06DF375A" w14:textId="77777777" w:rsidR="00532977" w:rsidRDefault="00532977" w:rsidP="00532977">
      <w:pPr>
        <w:pStyle w:val="Sinespaciado"/>
        <w:jc w:val="both"/>
        <w:rPr>
          <w:rFonts w:ascii="Arial" w:hAnsi="Arial" w:cs="Arial"/>
          <w:b/>
        </w:rPr>
      </w:pPr>
    </w:p>
    <w:p w14:paraId="6DD8B2FB" w14:textId="243F0640" w:rsidR="00A644B0" w:rsidRPr="00532977" w:rsidRDefault="00D405CA" w:rsidP="00532977">
      <w:pPr>
        <w:pStyle w:val="Sinespaciado"/>
        <w:jc w:val="both"/>
        <w:rPr>
          <w:rFonts w:ascii="Arial" w:hAnsi="Arial" w:cs="Arial"/>
        </w:rPr>
      </w:pPr>
      <w:r w:rsidRPr="00532977">
        <w:rPr>
          <w:rFonts w:ascii="Arial" w:hAnsi="Arial" w:cs="Arial"/>
          <w:b/>
        </w:rPr>
        <w:t>PARÁGRAFO PRIMERO</w:t>
      </w:r>
      <w:r w:rsidR="00A644B0" w:rsidRPr="00532977">
        <w:rPr>
          <w:rFonts w:ascii="Arial" w:hAnsi="Arial" w:cs="Arial"/>
        </w:rPr>
        <w:t>: El Ministerio de Salud y Seguridad Social reglamentará las condiciones, parámetros y disposiciones necesarias para el reconocimiento de los casos incapacitantes y/o discapacitantes</w:t>
      </w:r>
    </w:p>
    <w:p w14:paraId="0FED5029" w14:textId="77777777" w:rsidR="00532977" w:rsidRDefault="00532977" w:rsidP="00532977">
      <w:pPr>
        <w:pStyle w:val="Sinespaciado"/>
        <w:jc w:val="both"/>
        <w:rPr>
          <w:rFonts w:ascii="Arial" w:hAnsi="Arial" w:cs="Arial"/>
          <w:b/>
        </w:rPr>
      </w:pPr>
    </w:p>
    <w:p w14:paraId="2D573D59" w14:textId="39B9B723" w:rsidR="00A644B0" w:rsidRPr="00532977" w:rsidRDefault="00D405CA" w:rsidP="00532977">
      <w:pPr>
        <w:pStyle w:val="Sinespaciado"/>
        <w:jc w:val="both"/>
        <w:rPr>
          <w:rFonts w:ascii="Arial" w:hAnsi="Arial" w:cs="Arial"/>
        </w:rPr>
      </w:pPr>
      <w:r w:rsidRPr="00532977">
        <w:rPr>
          <w:rFonts w:ascii="Arial" w:hAnsi="Arial" w:cs="Arial"/>
          <w:b/>
        </w:rPr>
        <w:t>PARÁGRAFO SEGUNDO</w:t>
      </w:r>
      <w:r w:rsidR="00A644B0" w:rsidRPr="00532977">
        <w:rPr>
          <w:rFonts w:ascii="Arial" w:hAnsi="Arial" w:cs="Arial"/>
        </w:rPr>
        <w:t>: Son beneficiarios de la presente ley todas las personas menstruantes y no menstruantes, así como aquellas que se encuentren en menopausia o tengan ausencia de sangrado menstrual por causa natural, química o por extirpación de órganos, sin importar la edad, la identidad de género o género asignado en su documento de identidad.</w:t>
      </w:r>
    </w:p>
    <w:p w14:paraId="06D9440C" w14:textId="673167B0" w:rsidR="00A644B0" w:rsidRPr="00D405CA" w:rsidRDefault="00D405CA" w:rsidP="00532977">
      <w:pPr>
        <w:pStyle w:val="Sinespaciado"/>
        <w:jc w:val="both"/>
        <w:rPr>
          <w:rFonts w:ascii="Arial" w:hAnsi="Arial" w:cs="Arial"/>
          <w:b/>
        </w:rPr>
      </w:pPr>
      <w:r w:rsidRPr="00D405CA">
        <w:rPr>
          <w:rFonts w:ascii="Arial" w:hAnsi="Arial" w:cs="Arial"/>
          <w:b/>
        </w:rPr>
        <w:lastRenderedPageBreak/>
        <w:t>ARTÍCULO 4°. DE LA POLÍTICA PÚBLICA DE ABORDAJE INTEGRAL DE LA ENDOMETRIOSIS Y REGLAMENTACIÓN:</w:t>
      </w:r>
    </w:p>
    <w:p w14:paraId="23A947B3" w14:textId="77777777" w:rsidR="00532977" w:rsidRDefault="00532977" w:rsidP="00532977">
      <w:pPr>
        <w:pStyle w:val="Sinespaciado"/>
        <w:jc w:val="both"/>
        <w:rPr>
          <w:rFonts w:ascii="Arial" w:hAnsi="Arial" w:cs="Arial"/>
        </w:rPr>
      </w:pPr>
    </w:p>
    <w:p w14:paraId="58142320" w14:textId="1E28F0C4" w:rsidR="00A644B0" w:rsidRPr="00532977" w:rsidRDefault="00A644B0" w:rsidP="00532977">
      <w:pPr>
        <w:pStyle w:val="Sinespaciado"/>
        <w:jc w:val="both"/>
        <w:rPr>
          <w:rFonts w:ascii="Arial" w:hAnsi="Arial" w:cs="Arial"/>
        </w:rPr>
      </w:pPr>
      <w:r w:rsidRPr="00532977">
        <w:rPr>
          <w:rFonts w:ascii="Arial" w:hAnsi="Arial" w:cs="Arial"/>
        </w:rPr>
        <w:t>El Ministerio de Salud y Protección Social deberá formular, adoptar, dirigir, coordinar, ejecutar y evaluar la Política Pública para el abordaje integral de la endometriosis.</w:t>
      </w:r>
    </w:p>
    <w:p w14:paraId="4E34142A" w14:textId="77777777" w:rsidR="00532977" w:rsidRDefault="00532977" w:rsidP="00532977">
      <w:pPr>
        <w:pStyle w:val="Sinespaciado"/>
        <w:jc w:val="both"/>
        <w:rPr>
          <w:rFonts w:ascii="Arial" w:hAnsi="Arial" w:cs="Arial"/>
        </w:rPr>
      </w:pPr>
    </w:p>
    <w:p w14:paraId="17946742" w14:textId="30307638" w:rsidR="00A644B0" w:rsidRPr="00532977" w:rsidRDefault="00A644B0" w:rsidP="00532977">
      <w:pPr>
        <w:pStyle w:val="Sinespaciado"/>
        <w:jc w:val="both"/>
        <w:rPr>
          <w:rFonts w:ascii="Arial" w:hAnsi="Arial" w:cs="Arial"/>
        </w:rPr>
      </w:pPr>
      <w:r w:rsidRPr="00532977">
        <w:rPr>
          <w:rFonts w:ascii="Arial" w:hAnsi="Arial" w:cs="Arial"/>
        </w:rPr>
        <w:t>Todas las entidades públicas del orden nacional, departamental y distrital, así como las organizaciones no gubernamentales, asociaciones y grupos de pacientes o médicos, así como las instituciones de salud públicas o privadas, podrán participar de la elaboración de planes, programas y proyectos derivados de la presente Ley para promover la salud y el bienestar de las mujeres con endometriosis, a fin de prevenir mayores afectaciones a su salud y contribuir al tratamiento físico, mental y social de estas, así como a la formulación de la Política Pública y su reglamentación por parte del Ministerio de Salud y Seguridad Social, el cual establecerá los mecanismos efectivos y permanentes de participación.</w:t>
      </w:r>
    </w:p>
    <w:p w14:paraId="10301E7A" w14:textId="77777777" w:rsidR="00532977" w:rsidRDefault="00532977" w:rsidP="00532977">
      <w:pPr>
        <w:pStyle w:val="Sinespaciado"/>
        <w:jc w:val="both"/>
        <w:rPr>
          <w:rFonts w:ascii="Arial" w:hAnsi="Arial" w:cs="Arial"/>
          <w:b/>
        </w:rPr>
      </w:pPr>
    </w:p>
    <w:p w14:paraId="38F99190" w14:textId="0948872E" w:rsidR="00A644B0" w:rsidRPr="00532977" w:rsidRDefault="00D405CA" w:rsidP="00532977">
      <w:pPr>
        <w:pStyle w:val="Sinespaciado"/>
        <w:jc w:val="both"/>
        <w:rPr>
          <w:rFonts w:ascii="Arial" w:hAnsi="Arial" w:cs="Arial"/>
          <w:b/>
        </w:rPr>
      </w:pPr>
      <w:r w:rsidRPr="00532977">
        <w:rPr>
          <w:rFonts w:ascii="Arial" w:hAnsi="Arial" w:cs="Arial"/>
          <w:b/>
        </w:rPr>
        <w:t xml:space="preserve">ARTÍCULO 5º. ALCANCE DE LA POLÍTICA PÚBLICA DE ABORDAJE INTEGRAL DE LA ENDOMETRIOSIS </w:t>
      </w:r>
    </w:p>
    <w:p w14:paraId="46D3EB7D" w14:textId="77777777" w:rsidR="00D405CA" w:rsidRDefault="00D405CA" w:rsidP="00532977">
      <w:pPr>
        <w:pStyle w:val="Sinespaciado"/>
        <w:jc w:val="both"/>
        <w:rPr>
          <w:rFonts w:ascii="Arial" w:hAnsi="Arial" w:cs="Arial"/>
        </w:rPr>
      </w:pPr>
    </w:p>
    <w:p w14:paraId="59521F1F" w14:textId="2B3FBA1E" w:rsidR="00A644B0" w:rsidRPr="00532977" w:rsidRDefault="00A644B0" w:rsidP="00532977">
      <w:pPr>
        <w:pStyle w:val="Sinespaciado"/>
        <w:jc w:val="both"/>
        <w:rPr>
          <w:rFonts w:ascii="Arial" w:hAnsi="Arial" w:cs="Arial"/>
        </w:rPr>
      </w:pPr>
      <w:r w:rsidRPr="00532977">
        <w:rPr>
          <w:rFonts w:ascii="Arial" w:hAnsi="Arial" w:cs="Arial"/>
        </w:rPr>
        <w:t>La política Pública de abordaje integral de la endometriosis incluirá como mínimo las siguientes disposiciones:</w:t>
      </w:r>
    </w:p>
    <w:p w14:paraId="332F4D80" w14:textId="77777777" w:rsidR="0061490D" w:rsidRDefault="0061490D" w:rsidP="00532977">
      <w:pPr>
        <w:pStyle w:val="Sinespaciado"/>
        <w:jc w:val="both"/>
        <w:rPr>
          <w:rFonts w:ascii="Arial" w:hAnsi="Arial" w:cs="Arial"/>
        </w:rPr>
      </w:pPr>
    </w:p>
    <w:p w14:paraId="3E80D1FC" w14:textId="5037DAB4" w:rsidR="00A644B0" w:rsidRPr="00532977" w:rsidRDefault="0061490D" w:rsidP="00532977">
      <w:pPr>
        <w:pStyle w:val="Sinespaciado"/>
        <w:jc w:val="both"/>
        <w:rPr>
          <w:rFonts w:ascii="Arial" w:hAnsi="Arial" w:cs="Arial"/>
        </w:rPr>
      </w:pPr>
      <w:r>
        <w:rPr>
          <w:rFonts w:ascii="Arial" w:hAnsi="Arial" w:cs="Arial"/>
        </w:rPr>
        <w:t xml:space="preserve">15. </w:t>
      </w:r>
      <w:r w:rsidR="00A644B0" w:rsidRPr="00532977">
        <w:rPr>
          <w:rFonts w:ascii="Arial" w:hAnsi="Arial" w:cs="Arial"/>
        </w:rPr>
        <w:t>Criterios y parámetros bajo los cuales se puede dictaminar que un caso de endometriosis sea declarado como crónico, incapacitante y/o discapacitante.</w:t>
      </w:r>
    </w:p>
    <w:p w14:paraId="6F0495B3" w14:textId="77777777" w:rsidR="00A644B0" w:rsidRPr="00532977" w:rsidRDefault="00A644B0" w:rsidP="00532977">
      <w:pPr>
        <w:pStyle w:val="Sinespaciado"/>
        <w:jc w:val="both"/>
        <w:rPr>
          <w:rFonts w:ascii="Arial" w:hAnsi="Arial" w:cs="Arial"/>
        </w:rPr>
      </w:pPr>
    </w:p>
    <w:p w14:paraId="1DEFD61C" w14:textId="0C131CCC" w:rsidR="00A644B0" w:rsidRPr="00532977" w:rsidRDefault="0061490D" w:rsidP="00532977">
      <w:pPr>
        <w:pStyle w:val="Sinespaciado"/>
        <w:jc w:val="both"/>
        <w:rPr>
          <w:rFonts w:ascii="Arial" w:hAnsi="Arial" w:cs="Arial"/>
        </w:rPr>
      </w:pPr>
      <w:r>
        <w:rPr>
          <w:rFonts w:ascii="Arial" w:hAnsi="Arial" w:cs="Arial"/>
        </w:rPr>
        <w:t xml:space="preserve">16. </w:t>
      </w:r>
      <w:r w:rsidR="00A644B0" w:rsidRPr="00532977">
        <w:rPr>
          <w:rFonts w:ascii="Arial" w:hAnsi="Arial" w:cs="Arial"/>
        </w:rPr>
        <w:t>Definir y actualizar, conforme con los avances y estudios que se obtengan en la materia, los protocolos específicos para la atención, diagnóstico temprano y abordaje integral de la endometriosis, que alcance a todos los niveles de atención de la salud, con especial énfasis en la atención primaria, dirigido a establecer criterios unificados que favorezcan la detección temprana, la atención oportuna e interdisciplinaria, la derivación y el seguimiento de la enfermedad</w:t>
      </w:r>
    </w:p>
    <w:p w14:paraId="4844E142" w14:textId="77777777" w:rsidR="0061490D" w:rsidRDefault="0061490D" w:rsidP="00532977">
      <w:pPr>
        <w:pStyle w:val="Sinespaciado"/>
        <w:jc w:val="both"/>
        <w:rPr>
          <w:rFonts w:ascii="Arial" w:hAnsi="Arial" w:cs="Arial"/>
        </w:rPr>
      </w:pPr>
    </w:p>
    <w:p w14:paraId="14F5C12C" w14:textId="52288668" w:rsidR="00A644B0" w:rsidRPr="00532977" w:rsidRDefault="0061490D" w:rsidP="00532977">
      <w:pPr>
        <w:pStyle w:val="Sinespaciado"/>
        <w:jc w:val="both"/>
        <w:rPr>
          <w:rFonts w:ascii="Arial" w:hAnsi="Arial" w:cs="Arial"/>
        </w:rPr>
      </w:pPr>
      <w:r>
        <w:rPr>
          <w:rFonts w:ascii="Arial" w:hAnsi="Arial" w:cs="Arial"/>
        </w:rPr>
        <w:t xml:space="preserve">17. </w:t>
      </w:r>
      <w:r w:rsidR="00A644B0" w:rsidRPr="00532977">
        <w:rPr>
          <w:rFonts w:ascii="Arial" w:hAnsi="Arial" w:cs="Arial"/>
        </w:rPr>
        <w:t>Disposiciones para la prevención, diagnóstico temprano y prioritario, tratamiento integral, control, tratamiento médico y quirúrgico, medicamentos y apoyo psico</w:t>
      </w:r>
      <w:bookmarkStart w:id="0" w:name="_GoBack"/>
      <w:bookmarkEnd w:id="0"/>
      <w:r w:rsidR="00A644B0" w:rsidRPr="00532977">
        <w:rPr>
          <w:rFonts w:ascii="Arial" w:hAnsi="Arial" w:cs="Arial"/>
        </w:rPr>
        <w:t>-social de las personas diagnosticadas y sus familiares, así como la prevención de complicaciones físicas, emocionales y sociales de las personas diagnosticadas</w:t>
      </w:r>
    </w:p>
    <w:p w14:paraId="4BC23DAC" w14:textId="77777777" w:rsidR="0061490D" w:rsidRDefault="0061490D" w:rsidP="00532977">
      <w:pPr>
        <w:pStyle w:val="Sinespaciado"/>
        <w:jc w:val="both"/>
        <w:rPr>
          <w:rFonts w:ascii="Arial" w:hAnsi="Arial" w:cs="Arial"/>
        </w:rPr>
      </w:pPr>
    </w:p>
    <w:p w14:paraId="33007606" w14:textId="2228B73A" w:rsidR="00A644B0" w:rsidRPr="00532977" w:rsidRDefault="0061490D" w:rsidP="00532977">
      <w:pPr>
        <w:pStyle w:val="Sinespaciado"/>
        <w:jc w:val="both"/>
        <w:rPr>
          <w:rFonts w:ascii="Arial" w:hAnsi="Arial" w:cs="Arial"/>
        </w:rPr>
      </w:pPr>
      <w:r>
        <w:rPr>
          <w:rFonts w:ascii="Arial" w:hAnsi="Arial" w:cs="Arial"/>
        </w:rPr>
        <w:t xml:space="preserve">18. </w:t>
      </w:r>
      <w:r w:rsidR="00A644B0" w:rsidRPr="00532977">
        <w:rPr>
          <w:rFonts w:ascii="Arial" w:hAnsi="Arial" w:cs="Arial"/>
        </w:rPr>
        <w:t>Implantar la capacitación periódica y actualización del personal médico relacionados con el abordaje integral de pacientes con endometriosis, para promover el diagnóstico temprano de la enfermedad, la ruta de atención en caso de síntomas o sospecha, la aplicación de los protocolos establecidos por el Ministerio de Salud, incluyendo información actualizada sobre la endometriosis, sus síntomas, diagnósticos, tratamientos y demás avances científicos disponibles para la atención y tratamiento de la enfermedad</w:t>
      </w:r>
    </w:p>
    <w:p w14:paraId="1A15DF32" w14:textId="77777777" w:rsidR="0061490D" w:rsidRDefault="0061490D" w:rsidP="00532977">
      <w:pPr>
        <w:pStyle w:val="Sinespaciado"/>
        <w:jc w:val="both"/>
        <w:rPr>
          <w:rFonts w:ascii="Arial" w:hAnsi="Arial" w:cs="Arial"/>
        </w:rPr>
      </w:pPr>
    </w:p>
    <w:p w14:paraId="33BC9122" w14:textId="2EAA286A" w:rsidR="00A644B0" w:rsidRPr="00532977" w:rsidRDefault="0061490D" w:rsidP="00532977">
      <w:pPr>
        <w:pStyle w:val="Sinespaciado"/>
        <w:jc w:val="both"/>
        <w:rPr>
          <w:rFonts w:ascii="Arial" w:hAnsi="Arial" w:cs="Arial"/>
        </w:rPr>
      </w:pPr>
      <w:r>
        <w:rPr>
          <w:rFonts w:ascii="Arial" w:hAnsi="Arial" w:cs="Arial"/>
        </w:rPr>
        <w:t xml:space="preserve">19. </w:t>
      </w:r>
      <w:r w:rsidR="00A644B0" w:rsidRPr="00532977">
        <w:rPr>
          <w:rFonts w:ascii="Arial" w:hAnsi="Arial" w:cs="Arial"/>
        </w:rPr>
        <w:t>Generar, facilitar y garantizar el acceso permanente a información sobre la endometriosis y sus complicaciones, a efecto del reconocimiento temprano de la misma, su tratamiento y adecuado control, a través de los distintos medios de comunicación, tanto en formato digital, gráfico como en cualquier otro medio idóneo</w:t>
      </w:r>
    </w:p>
    <w:p w14:paraId="76505E0D" w14:textId="77777777" w:rsidR="0061490D" w:rsidRDefault="0061490D" w:rsidP="00532977">
      <w:pPr>
        <w:pStyle w:val="Sinespaciado"/>
        <w:jc w:val="both"/>
        <w:rPr>
          <w:rFonts w:ascii="Arial" w:hAnsi="Arial" w:cs="Arial"/>
        </w:rPr>
      </w:pPr>
    </w:p>
    <w:p w14:paraId="64188DBB" w14:textId="3435C84F" w:rsidR="00A644B0" w:rsidRPr="00532977" w:rsidRDefault="0061490D" w:rsidP="00532977">
      <w:pPr>
        <w:pStyle w:val="Sinespaciado"/>
        <w:jc w:val="both"/>
        <w:rPr>
          <w:rFonts w:ascii="Arial" w:hAnsi="Arial" w:cs="Arial"/>
        </w:rPr>
      </w:pPr>
      <w:r>
        <w:rPr>
          <w:rFonts w:ascii="Arial" w:hAnsi="Arial" w:cs="Arial"/>
        </w:rPr>
        <w:t xml:space="preserve">20. </w:t>
      </w:r>
      <w:r w:rsidR="00A644B0" w:rsidRPr="00532977">
        <w:rPr>
          <w:rFonts w:ascii="Arial" w:hAnsi="Arial" w:cs="Arial"/>
        </w:rPr>
        <w:t>Promover la investigación clínica y científica sobre la endometriosis, así como su divulgación al público general y especializado</w:t>
      </w:r>
    </w:p>
    <w:p w14:paraId="04AB069B" w14:textId="77777777" w:rsidR="0061490D" w:rsidRDefault="0061490D" w:rsidP="00532977">
      <w:pPr>
        <w:pStyle w:val="Sinespaciado"/>
        <w:jc w:val="both"/>
        <w:rPr>
          <w:rFonts w:ascii="Arial" w:hAnsi="Arial" w:cs="Arial"/>
        </w:rPr>
      </w:pPr>
    </w:p>
    <w:p w14:paraId="1D022A9C" w14:textId="1089822B" w:rsidR="00A644B0" w:rsidRPr="00532977" w:rsidRDefault="0061490D" w:rsidP="00532977">
      <w:pPr>
        <w:pStyle w:val="Sinespaciado"/>
        <w:jc w:val="both"/>
        <w:rPr>
          <w:rFonts w:ascii="Arial" w:hAnsi="Arial" w:cs="Arial"/>
        </w:rPr>
      </w:pPr>
      <w:r>
        <w:rPr>
          <w:rFonts w:ascii="Arial" w:hAnsi="Arial" w:cs="Arial"/>
        </w:rPr>
        <w:t xml:space="preserve">21. </w:t>
      </w:r>
      <w:r w:rsidR="00A644B0" w:rsidRPr="00532977">
        <w:rPr>
          <w:rFonts w:ascii="Arial" w:hAnsi="Arial" w:cs="Arial"/>
        </w:rPr>
        <w:t>Campañas de promoción, sensibilización y concientización a la ciudadanía en general</w:t>
      </w:r>
    </w:p>
    <w:p w14:paraId="34FED57A" w14:textId="77777777" w:rsidR="0061490D" w:rsidRDefault="0061490D" w:rsidP="00532977">
      <w:pPr>
        <w:pStyle w:val="Sinespaciado"/>
        <w:jc w:val="both"/>
        <w:rPr>
          <w:rFonts w:ascii="Arial" w:hAnsi="Arial" w:cs="Arial"/>
        </w:rPr>
      </w:pPr>
    </w:p>
    <w:p w14:paraId="772956D2" w14:textId="4A711090" w:rsidR="00A644B0" w:rsidRPr="00532977" w:rsidRDefault="0061490D" w:rsidP="00532977">
      <w:pPr>
        <w:pStyle w:val="Sinespaciado"/>
        <w:jc w:val="both"/>
        <w:rPr>
          <w:rFonts w:ascii="Arial" w:hAnsi="Arial" w:cs="Arial"/>
        </w:rPr>
      </w:pPr>
      <w:r>
        <w:rPr>
          <w:rFonts w:ascii="Arial" w:hAnsi="Arial" w:cs="Arial"/>
        </w:rPr>
        <w:lastRenderedPageBreak/>
        <w:t xml:space="preserve">22. </w:t>
      </w:r>
      <w:r w:rsidR="00A644B0" w:rsidRPr="00532977">
        <w:rPr>
          <w:rFonts w:ascii="Arial" w:hAnsi="Arial" w:cs="Arial"/>
        </w:rPr>
        <w:t>Protocolos de atención prioritaria para diagnósticos tempranos y tratamientos con abordaje integral</w:t>
      </w:r>
    </w:p>
    <w:p w14:paraId="07F4A051" w14:textId="31964283" w:rsidR="00A644B0" w:rsidRPr="00532977" w:rsidRDefault="0061490D" w:rsidP="00532977">
      <w:pPr>
        <w:pStyle w:val="Sinespaciado"/>
        <w:jc w:val="both"/>
        <w:rPr>
          <w:rFonts w:ascii="Arial" w:hAnsi="Arial" w:cs="Arial"/>
        </w:rPr>
      </w:pPr>
      <w:r>
        <w:rPr>
          <w:rFonts w:ascii="Arial" w:hAnsi="Arial" w:cs="Arial"/>
        </w:rPr>
        <w:t xml:space="preserve">23. </w:t>
      </w:r>
      <w:r w:rsidR="00A644B0" w:rsidRPr="00532977">
        <w:rPr>
          <w:rFonts w:ascii="Arial" w:hAnsi="Arial" w:cs="Arial"/>
        </w:rPr>
        <w:t>Llevar un registro estadístico de datos abiertos y pormenorizados de personas con endometriosis y sus patologías derivadas, dando cumplimiento a la legislación vigente sobre protección de datos personales</w:t>
      </w:r>
    </w:p>
    <w:p w14:paraId="255A18F9" w14:textId="77777777" w:rsidR="0061490D" w:rsidRDefault="0061490D" w:rsidP="00532977">
      <w:pPr>
        <w:pStyle w:val="Sinespaciado"/>
        <w:jc w:val="both"/>
        <w:rPr>
          <w:rFonts w:ascii="Arial" w:hAnsi="Arial" w:cs="Arial"/>
        </w:rPr>
      </w:pPr>
    </w:p>
    <w:p w14:paraId="4EB6F7CD" w14:textId="5348A7CC" w:rsidR="00A644B0" w:rsidRPr="00532977" w:rsidRDefault="0061490D" w:rsidP="00532977">
      <w:pPr>
        <w:pStyle w:val="Sinespaciado"/>
        <w:jc w:val="both"/>
        <w:rPr>
          <w:rFonts w:ascii="Arial" w:hAnsi="Arial" w:cs="Arial"/>
        </w:rPr>
      </w:pPr>
      <w:r>
        <w:rPr>
          <w:rFonts w:ascii="Arial" w:hAnsi="Arial" w:cs="Arial"/>
        </w:rPr>
        <w:t xml:space="preserve">24. </w:t>
      </w:r>
      <w:r w:rsidR="00A644B0" w:rsidRPr="00532977">
        <w:rPr>
          <w:rFonts w:ascii="Arial" w:hAnsi="Arial" w:cs="Arial"/>
        </w:rPr>
        <w:t>Mecanismos para registro, medición, análisis de casos, tendencias, factores y demás información que permita a las autoridades tomar decisiones que garanticen efectivamente el objeto de la presente Ley</w:t>
      </w:r>
    </w:p>
    <w:p w14:paraId="3BE78E8C" w14:textId="77777777" w:rsidR="0061490D" w:rsidRDefault="0061490D" w:rsidP="00532977">
      <w:pPr>
        <w:pStyle w:val="Sinespaciado"/>
        <w:jc w:val="both"/>
        <w:rPr>
          <w:rFonts w:ascii="Arial" w:hAnsi="Arial" w:cs="Arial"/>
        </w:rPr>
      </w:pPr>
    </w:p>
    <w:p w14:paraId="5C4D4C09" w14:textId="30F3870C" w:rsidR="00A644B0" w:rsidRPr="00532977" w:rsidRDefault="0061490D" w:rsidP="00532977">
      <w:pPr>
        <w:pStyle w:val="Sinespaciado"/>
        <w:jc w:val="both"/>
        <w:rPr>
          <w:rFonts w:ascii="Arial" w:hAnsi="Arial" w:cs="Arial"/>
        </w:rPr>
      </w:pPr>
      <w:r>
        <w:rPr>
          <w:rFonts w:ascii="Arial" w:hAnsi="Arial" w:cs="Arial"/>
        </w:rPr>
        <w:t xml:space="preserve">25. </w:t>
      </w:r>
      <w:r w:rsidR="00A644B0" w:rsidRPr="00532977">
        <w:rPr>
          <w:rFonts w:ascii="Arial" w:hAnsi="Arial" w:cs="Arial"/>
        </w:rPr>
        <w:t>Métodos de medición, actualización e informe de cumplimiento, impacto y logros de las disposiciones de la presente Ley, de la Política Pública y su reglamentación</w:t>
      </w:r>
    </w:p>
    <w:p w14:paraId="66FEEFB2" w14:textId="77777777" w:rsidR="0061490D" w:rsidRDefault="0061490D" w:rsidP="00532977">
      <w:pPr>
        <w:pStyle w:val="Sinespaciado"/>
        <w:jc w:val="both"/>
        <w:rPr>
          <w:rFonts w:ascii="Arial" w:hAnsi="Arial" w:cs="Arial"/>
        </w:rPr>
      </w:pPr>
    </w:p>
    <w:p w14:paraId="1C6AE9EF" w14:textId="685777CA" w:rsidR="00A644B0" w:rsidRPr="00532977" w:rsidRDefault="0061490D" w:rsidP="00532977">
      <w:pPr>
        <w:pStyle w:val="Sinespaciado"/>
        <w:jc w:val="both"/>
        <w:rPr>
          <w:rFonts w:ascii="Arial" w:hAnsi="Arial" w:cs="Arial"/>
        </w:rPr>
      </w:pPr>
      <w:r>
        <w:rPr>
          <w:rFonts w:ascii="Arial" w:hAnsi="Arial" w:cs="Arial"/>
        </w:rPr>
        <w:t xml:space="preserve">26. </w:t>
      </w:r>
      <w:r w:rsidR="00A644B0" w:rsidRPr="00532977">
        <w:rPr>
          <w:rFonts w:ascii="Arial" w:hAnsi="Arial" w:cs="Arial"/>
        </w:rPr>
        <w:t>Medidas de protección laboral, educativa y social para las personas diagnosticadas</w:t>
      </w:r>
    </w:p>
    <w:p w14:paraId="3C38D8D2" w14:textId="77777777" w:rsidR="0061490D" w:rsidRDefault="0061490D" w:rsidP="00532977">
      <w:pPr>
        <w:pStyle w:val="Sinespaciado"/>
        <w:jc w:val="both"/>
        <w:rPr>
          <w:rFonts w:ascii="Arial" w:hAnsi="Arial" w:cs="Arial"/>
        </w:rPr>
      </w:pPr>
    </w:p>
    <w:p w14:paraId="4C9D488B" w14:textId="1446BC36" w:rsidR="00A644B0" w:rsidRPr="00532977" w:rsidRDefault="0061490D" w:rsidP="00532977">
      <w:pPr>
        <w:pStyle w:val="Sinespaciado"/>
        <w:jc w:val="both"/>
        <w:rPr>
          <w:rFonts w:ascii="Arial" w:hAnsi="Arial" w:cs="Arial"/>
        </w:rPr>
      </w:pPr>
      <w:r>
        <w:rPr>
          <w:rFonts w:ascii="Arial" w:hAnsi="Arial" w:cs="Arial"/>
        </w:rPr>
        <w:t xml:space="preserve">27. </w:t>
      </w:r>
      <w:r w:rsidR="00A644B0" w:rsidRPr="00532977">
        <w:rPr>
          <w:rFonts w:ascii="Arial" w:hAnsi="Arial" w:cs="Arial"/>
        </w:rPr>
        <w:t>Establecer la ruta de atención que garantice conexidad con los derechos sexuales y reproductivos, incluido el derecho a la maternidad.</w:t>
      </w:r>
    </w:p>
    <w:p w14:paraId="74E75760" w14:textId="77777777" w:rsidR="0061490D" w:rsidRDefault="0061490D" w:rsidP="00532977">
      <w:pPr>
        <w:pStyle w:val="Sinespaciado"/>
        <w:jc w:val="both"/>
        <w:rPr>
          <w:rFonts w:ascii="Arial" w:hAnsi="Arial" w:cs="Arial"/>
          <w:highlight w:val="white"/>
        </w:rPr>
      </w:pPr>
    </w:p>
    <w:p w14:paraId="48F4EAB7" w14:textId="7F83C500" w:rsidR="00A644B0" w:rsidRPr="00532977" w:rsidRDefault="0061490D" w:rsidP="00532977">
      <w:pPr>
        <w:pStyle w:val="Sinespaciado"/>
        <w:jc w:val="both"/>
        <w:rPr>
          <w:rFonts w:ascii="Arial" w:hAnsi="Arial" w:cs="Arial"/>
        </w:rPr>
      </w:pPr>
      <w:r>
        <w:rPr>
          <w:rFonts w:ascii="Arial" w:hAnsi="Arial" w:cs="Arial"/>
          <w:highlight w:val="white"/>
        </w:rPr>
        <w:t xml:space="preserve">28. </w:t>
      </w:r>
      <w:r w:rsidR="00A644B0" w:rsidRPr="00532977">
        <w:rPr>
          <w:rFonts w:ascii="Arial" w:hAnsi="Arial" w:cs="Arial"/>
          <w:highlight w:val="white"/>
        </w:rPr>
        <w:t>Ajustar los procesos a la atención integral prioritaria y continuada que comprenderá presunción de la enfermedad, diagnóstico, tratamiento, rehabilitación, paliación, seguimiento y control y asistencia psicosocial y familiar</w:t>
      </w:r>
    </w:p>
    <w:p w14:paraId="00E3EA6A" w14:textId="77777777" w:rsidR="0061490D" w:rsidRDefault="0061490D" w:rsidP="00532977">
      <w:pPr>
        <w:pStyle w:val="Sinespaciado"/>
        <w:jc w:val="both"/>
        <w:rPr>
          <w:rFonts w:ascii="Arial" w:hAnsi="Arial" w:cs="Arial"/>
        </w:rPr>
      </w:pPr>
    </w:p>
    <w:p w14:paraId="3C5FD282" w14:textId="668E3F3D" w:rsidR="00A644B0" w:rsidRPr="00532977" w:rsidRDefault="0061490D" w:rsidP="00532977">
      <w:pPr>
        <w:pStyle w:val="Sinespaciado"/>
        <w:jc w:val="both"/>
        <w:rPr>
          <w:rFonts w:ascii="Arial" w:hAnsi="Arial" w:cs="Arial"/>
        </w:rPr>
      </w:pPr>
      <w:r>
        <w:rPr>
          <w:rFonts w:ascii="Arial" w:hAnsi="Arial" w:cs="Arial"/>
        </w:rPr>
        <w:t>15. I</w:t>
      </w:r>
      <w:r w:rsidR="00A644B0" w:rsidRPr="00532977">
        <w:rPr>
          <w:rFonts w:ascii="Arial" w:hAnsi="Arial" w:cs="Arial"/>
        </w:rPr>
        <w:t xml:space="preserve">ncluirá un enfoque específico para el desarrollo de planes y programas que atiendan las necesidades de prevención, diagnóstico oportuno, y tratamiento integral para la mujer rural, teniendo en cuenta y respetando sus prácticas y creencias ancestrales. </w:t>
      </w:r>
    </w:p>
    <w:p w14:paraId="2EC64D23" w14:textId="77777777" w:rsidR="0061490D" w:rsidRDefault="0061490D" w:rsidP="00532977">
      <w:pPr>
        <w:pStyle w:val="Sinespaciado"/>
        <w:jc w:val="both"/>
        <w:rPr>
          <w:rFonts w:ascii="Arial" w:hAnsi="Arial" w:cs="Arial"/>
          <w:b/>
        </w:rPr>
      </w:pPr>
    </w:p>
    <w:p w14:paraId="14CF0B11" w14:textId="440FAAB8" w:rsidR="00A644B0" w:rsidRPr="00532977" w:rsidRDefault="00532977" w:rsidP="00532977">
      <w:pPr>
        <w:pStyle w:val="Sinespaciado"/>
        <w:jc w:val="both"/>
        <w:rPr>
          <w:rFonts w:ascii="Arial" w:hAnsi="Arial" w:cs="Arial"/>
        </w:rPr>
      </w:pPr>
      <w:r w:rsidRPr="00532977">
        <w:rPr>
          <w:rFonts w:ascii="Arial" w:hAnsi="Arial" w:cs="Arial"/>
          <w:b/>
        </w:rPr>
        <w:t>A</w:t>
      </w:r>
      <w:r w:rsidR="00A644B0" w:rsidRPr="00532977">
        <w:rPr>
          <w:rFonts w:ascii="Arial" w:hAnsi="Arial" w:cs="Arial"/>
          <w:b/>
        </w:rPr>
        <w:t>RTÍCULO 6o. GARANTÍA DEL ABORDAJE INTEGRAL</w:t>
      </w:r>
      <w:r w:rsidR="00A644B0" w:rsidRPr="00532977">
        <w:rPr>
          <w:rFonts w:ascii="Arial" w:hAnsi="Arial" w:cs="Arial"/>
        </w:rPr>
        <w:t>. Quedan incluidos dentro del Plan</w:t>
      </w:r>
      <w:r w:rsidR="0061490D">
        <w:rPr>
          <w:rFonts w:ascii="Arial" w:hAnsi="Arial" w:cs="Arial"/>
        </w:rPr>
        <w:t xml:space="preserve"> </w:t>
      </w:r>
      <w:r w:rsidR="00A644B0" w:rsidRPr="00532977">
        <w:rPr>
          <w:rFonts w:ascii="Arial" w:hAnsi="Arial" w:cs="Arial"/>
        </w:rPr>
        <w:t>Básico de Salud (PBS) o el que haga sus veces, todos los procedimientos, medicamentos, tratamientos y terapias para el abordaje integral de la endometriosis, así como los nuevos procedimientos y técnicas que se desarrollen mediante avances técnico-científicos.</w:t>
      </w:r>
    </w:p>
    <w:p w14:paraId="5064B8F8" w14:textId="77777777" w:rsidR="0061490D" w:rsidRDefault="0061490D" w:rsidP="00532977">
      <w:pPr>
        <w:pStyle w:val="Sinespaciado"/>
        <w:jc w:val="both"/>
        <w:rPr>
          <w:rFonts w:ascii="Arial" w:hAnsi="Arial" w:cs="Arial"/>
          <w:b/>
          <w:i/>
        </w:rPr>
      </w:pPr>
    </w:p>
    <w:p w14:paraId="65E850DB" w14:textId="6833EE09" w:rsidR="00A644B0" w:rsidRPr="00D405CA" w:rsidRDefault="00D405CA" w:rsidP="00532977">
      <w:pPr>
        <w:pStyle w:val="Sinespaciado"/>
        <w:jc w:val="both"/>
        <w:rPr>
          <w:rFonts w:ascii="Arial" w:hAnsi="Arial" w:cs="Arial"/>
        </w:rPr>
      </w:pPr>
      <w:r w:rsidRPr="00D405CA">
        <w:rPr>
          <w:rFonts w:ascii="Arial" w:hAnsi="Arial" w:cs="Arial"/>
          <w:b/>
        </w:rPr>
        <w:t>ARTÍCULO 7°. REGISTRO DE PACIENTES DE ENDOMETRIOSIS</w:t>
      </w:r>
    </w:p>
    <w:p w14:paraId="3E5DCECF" w14:textId="77777777" w:rsidR="00D405CA" w:rsidRDefault="00D405CA" w:rsidP="00532977">
      <w:pPr>
        <w:pStyle w:val="Sinespaciado"/>
        <w:jc w:val="both"/>
        <w:rPr>
          <w:rFonts w:ascii="Arial" w:hAnsi="Arial" w:cs="Arial"/>
        </w:rPr>
      </w:pPr>
    </w:p>
    <w:p w14:paraId="1C72DEEB" w14:textId="67302DE6" w:rsidR="00A644B0" w:rsidRPr="00532977" w:rsidRDefault="00A644B0" w:rsidP="00532977">
      <w:pPr>
        <w:pStyle w:val="Sinespaciado"/>
        <w:jc w:val="both"/>
        <w:rPr>
          <w:rFonts w:ascii="Arial" w:hAnsi="Arial" w:cs="Arial"/>
        </w:rPr>
      </w:pPr>
      <w:r w:rsidRPr="00532977">
        <w:rPr>
          <w:rFonts w:ascii="Arial" w:hAnsi="Arial" w:cs="Arial"/>
        </w:rPr>
        <w:t>Créese el Registro de Pacientes de Endometriosis. El Ministerio de Salud y Protección Social, pondrá en marcha una base de datos para la agilidad de la atención a pacientes diagnosticados con endometriosis o en ruta de atención previa a la confirmación del diagnóstico, dando cumplimiento a la legislación vigente sobre protección de datos personales</w:t>
      </w:r>
    </w:p>
    <w:p w14:paraId="2C60E9FF" w14:textId="77777777" w:rsidR="0061490D" w:rsidRDefault="0061490D" w:rsidP="00532977">
      <w:pPr>
        <w:pStyle w:val="Sinespaciado"/>
        <w:jc w:val="both"/>
        <w:rPr>
          <w:rFonts w:ascii="Arial" w:hAnsi="Arial" w:cs="Arial"/>
        </w:rPr>
      </w:pPr>
    </w:p>
    <w:p w14:paraId="7DDE8C6C" w14:textId="4318E047" w:rsidR="00A644B0" w:rsidRPr="00532977" w:rsidRDefault="00A644B0" w:rsidP="00532977">
      <w:pPr>
        <w:pStyle w:val="Sinespaciado"/>
        <w:jc w:val="both"/>
        <w:rPr>
          <w:rFonts w:ascii="Arial" w:hAnsi="Arial" w:cs="Arial"/>
        </w:rPr>
      </w:pPr>
      <w:r w:rsidRPr="00532977">
        <w:rPr>
          <w:rFonts w:ascii="Arial" w:hAnsi="Arial" w:cs="Arial"/>
        </w:rPr>
        <w:t>El médico que tenga la presunción diagnóstica de endometriosis para un paciente, lo incluirá en esta base de datos, previa autorización suya o de los padres, tutores o representantes legales, que podrá ser consultada en tiempo real y que le permitirá a la EPS, ARS o Entidad Territorial a cargo, según los regímenes de la seguridad social en salud vigentes en el país, encontrar al paciente en el sistema.</w:t>
      </w:r>
    </w:p>
    <w:p w14:paraId="4AC36B07" w14:textId="77777777" w:rsidR="0061490D" w:rsidRDefault="0061490D" w:rsidP="00532977">
      <w:pPr>
        <w:pStyle w:val="Sinespaciado"/>
        <w:jc w:val="both"/>
        <w:rPr>
          <w:rFonts w:ascii="Arial" w:hAnsi="Arial" w:cs="Arial"/>
        </w:rPr>
      </w:pPr>
    </w:p>
    <w:p w14:paraId="5DBE0E22" w14:textId="1CFDAC30" w:rsidR="00A644B0" w:rsidRPr="00532977" w:rsidRDefault="00A644B0" w:rsidP="00532977">
      <w:pPr>
        <w:pStyle w:val="Sinespaciado"/>
        <w:jc w:val="both"/>
        <w:rPr>
          <w:rFonts w:ascii="Arial" w:hAnsi="Arial" w:cs="Arial"/>
        </w:rPr>
      </w:pPr>
      <w:r w:rsidRPr="00532977">
        <w:rPr>
          <w:rFonts w:ascii="Arial" w:hAnsi="Arial" w:cs="Arial"/>
        </w:rPr>
        <w:t>En esta base de datos se especificará que cada paciente contará, a partir de ese momento y hasta que el diagnóstico no se descarte, con todos los procedimientos de manera integral e inmediata.</w:t>
      </w:r>
    </w:p>
    <w:p w14:paraId="5F3114C7" w14:textId="77777777" w:rsidR="00A644B0" w:rsidRPr="00532977" w:rsidRDefault="00A644B0" w:rsidP="00532977">
      <w:pPr>
        <w:pStyle w:val="Sinespaciado"/>
        <w:jc w:val="both"/>
        <w:rPr>
          <w:rFonts w:ascii="Arial" w:hAnsi="Arial" w:cs="Arial"/>
        </w:rPr>
      </w:pPr>
      <w:r w:rsidRPr="00532977">
        <w:rPr>
          <w:rFonts w:ascii="Arial" w:hAnsi="Arial" w:cs="Arial"/>
        </w:rPr>
        <w:t>No se requerirá autorización adicional, especial o independiente para acceder a los procedimientos, elementos y servicios que se requieran para la atención integral de los pacientes incluidos en el Registro de Pacientes de Endometriosis.</w:t>
      </w:r>
    </w:p>
    <w:p w14:paraId="4F803DD7" w14:textId="77777777" w:rsidR="0061490D" w:rsidRDefault="0061490D" w:rsidP="00532977">
      <w:pPr>
        <w:pStyle w:val="Sinespaciado"/>
        <w:jc w:val="both"/>
        <w:rPr>
          <w:rFonts w:ascii="Arial" w:hAnsi="Arial" w:cs="Arial"/>
        </w:rPr>
      </w:pPr>
    </w:p>
    <w:p w14:paraId="78F6FBBE" w14:textId="45EDD138" w:rsidR="00A644B0" w:rsidRPr="00532977" w:rsidRDefault="00A644B0" w:rsidP="00532977">
      <w:pPr>
        <w:pStyle w:val="Sinespaciado"/>
        <w:jc w:val="both"/>
        <w:rPr>
          <w:rFonts w:ascii="Arial" w:hAnsi="Arial" w:cs="Arial"/>
        </w:rPr>
      </w:pPr>
      <w:r w:rsidRPr="00532977">
        <w:rPr>
          <w:rFonts w:ascii="Arial" w:hAnsi="Arial" w:cs="Arial"/>
        </w:rPr>
        <w:t>Las Administradoras de Planes de Beneficios no podrán solicitar autorización adicional, especial o independiente alguna para la atención integral de los pacientes.</w:t>
      </w:r>
    </w:p>
    <w:p w14:paraId="46E6268D" w14:textId="77777777" w:rsidR="0061490D" w:rsidRDefault="0061490D" w:rsidP="00532977">
      <w:pPr>
        <w:pStyle w:val="Sinespaciado"/>
        <w:jc w:val="both"/>
        <w:rPr>
          <w:rFonts w:ascii="Arial" w:hAnsi="Arial" w:cs="Arial"/>
          <w:b/>
        </w:rPr>
      </w:pPr>
    </w:p>
    <w:p w14:paraId="3624A5FB" w14:textId="05D13B8C" w:rsidR="00A644B0" w:rsidRPr="00532977" w:rsidRDefault="00A644B0" w:rsidP="00532977">
      <w:pPr>
        <w:pStyle w:val="Sinespaciado"/>
        <w:jc w:val="both"/>
        <w:rPr>
          <w:rFonts w:ascii="Arial" w:hAnsi="Arial" w:cs="Arial"/>
        </w:rPr>
      </w:pPr>
      <w:r w:rsidRPr="00532977">
        <w:rPr>
          <w:rFonts w:ascii="Arial" w:hAnsi="Arial" w:cs="Arial"/>
          <w:b/>
        </w:rPr>
        <w:t xml:space="preserve">PARÁGRAFO </w:t>
      </w:r>
      <w:r w:rsidRPr="00532977">
        <w:rPr>
          <w:rFonts w:ascii="Arial" w:hAnsi="Arial" w:cs="Arial"/>
        </w:rPr>
        <w:t>El Registro de Pacientes de Endometriosis cumplirá funciones para la obtención de data médica, estadística y científica, de manera anonimizada, que podrá ser usada por las entidades públicas o privadas para generar investigación y conocimiento sobre la enfermedad, sus causas, condiciones, efectividad de tratamientos, entre otros.</w:t>
      </w:r>
    </w:p>
    <w:p w14:paraId="7128F3F2" w14:textId="77777777" w:rsidR="0061490D" w:rsidRDefault="0061490D" w:rsidP="00532977">
      <w:pPr>
        <w:pStyle w:val="Sinespaciado"/>
        <w:jc w:val="both"/>
        <w:rPr>
          <w:rFonts w:ascii="Arial" w:hAnsi="Arial" w:cs="Arial"/>
          <w:b/>
          <w:i/>
          <w:highlight w:val="white"/>
        </w:rPr>
      </w:pPr>
    </w:p>
    <w:p w14:paraId="37004EB3" w14:textId="560A60CB" w:rsidR="00A644B0" w:rsidRPr="00532977" w:rsidRDefault="00D405CA" w:rsidP="00532977">
      <w:pPr>
        <w:pStyle w:val="Sinespaciado"/>
        <w:jc w:val="both"/>
        <w:rPr>
          <w:rFonts w:ascii="Arial" w:hAnsi="Arial" w:cs="Arial"/>
        </w:rPr>
      </w:pPr>
      <w:r w:rsidRPr="00D405CA">
        <w:rPr>
          <w:rFonts w:ascii="Arial" w:hAnsi="Arial" w:cs="Arial"/>
          <w:b/>
          <w:highlight w:val="white"/>
        </w:rPr>
        <w:t>ARTÍCULO 8°. INICIO DE RUTA DIAGNÓSTICA TEMPRANA Y DE ATENCIÓN</w:t>
      </w:r>
      <w:r w:rsidRPr="00532977">
        <w:rPr>
          <w:rFonts w:ascii="Arial" w:hAnsi="Arial" w:cs="Arial"/>
        </w:rPr>
        <w:t xml:space="preserve"> </w:t>
      </w:r>
      <w:r w:rsidR="00A644B0" w:rsidRPr="00532977">
        <w:rPr>
          <w:rFonts w:ascii="Arial" w:hAnsi="Arial" w:cs="Arial"/>
        </w:rPr>
        <w:t xml:space="preserve">Cuando un médico, independientemente de su especialidad, identifique los síntomas indicativos de endometriosis establecidos en los protocolos y/o presuma la existencia de endometriosis o de las patologías dispuestas en los protocolos de atención, deberá remitir al paciente para la activación de la Ruta Diagnóstica Temprana, sin perjuicio de ordenar todos los exámenes de apoyo diagnóstico y procedimientos especializados que se consideren indispensables hasta que el diagnóstico sea descartado o confirmado por parte de los especialistas correspondientes designados en las especialidades de </w:t>
      </w:r>
      <w:r w:rsidR="00532977" w:rsidRPr="00532977">
        <w:rPr>
          <w:rFonts w:ascii="Arial" w:hAnsi="Arial" w:cs="Arial"/>
        </w:rPr>
        <w:t>ginecología</w:t>
      </w:r>
      <w:r w:rsidR="00A644B0" w:rsidRPr="00532977">
        <w:rPr>
          <w:rFonts w:ascii="Arial" w:hAnsi="Arial" w:cs="Arial"/>
        </w:rPr>
        <w:t xml:space="preserve">, </w:t>
      </w:r>
      <w:r w:rsidR="00532977" w:rsidRPr="00532977">
        <w:rPr>
          <w:rFonts w:ascii="Arial" w:hAnsi="Arial" w:cs="Arial"/>
        </w:rPr>
        <w:t>urología</w:t>
      </w:r>
      <w:r w:rsidR="00A644B0" w:rsidRPr="00532977">
        <w:rPr>
          <w:rFonts w:ascii="Arial" w:hAnsi="Arial" w:cs="Arial"/>
        </w:rPr>
        <w:t xml:space="preserve">, </w:t>
      </w:r>
      <w:r w:rsidR="00532977" w:rsidRPr="00532977">
        <w:rPr>
          <w:rFonts w:ascii="Arial" w:hAnsi="Arial" w:cs="Arial"/>
        </w:rPr>
        <w:t>proctología</w:t>
      </w:r>
      <w:r w:rsidR="00A644B0" w:rsidRPr="00532977">
        <w:rPr>
          <w:rFonts w:ascii="Arial" w:hAnsi="Arial" w:cs="Arial"/>
        </w:rPr>
        <w:t>, neumología, cardiovascular, entre otros. </w:t>
      </w:r>
    </w:p>
    <w:p w14:paraId="2D07565F" w14:textId="77777777" w:rsidR="0061490D" w:rsidRDefault="0061490D" w:rsidP="00532977">
      <w:pPr>
        <w:pStyle w:val="Sinespaciado"/>
        <w:jc w:val="both"/>
        <w:rPr>
          <w:rFonts w:ascii="Arial" w:hAnsi="Arial" w:cs="Arial"/>
        </w:rPr>
      </w:pPr>
    </w:p>
    <w:p w14:paraId="21D7EB91" w14:textId="4B238738" w:rsidR="00A644B0" w:rsidRPr="00532977" w:rsidRDefault="00A644B0" w:rsidP="00532977">
      <w:pPr>
        <w:pStyle w:val="Sinespaciado"/>
        <w:jc w:val="both"/>
        <w:rPr>
          <w:rFonts w:ascii="Arial" w:hAnsi="Arial" w:cs="Arial"/>
        </w:rPr>
      </w:pPr>
      <w:r w:rsidRPr="00532977">
        <w:rPr>
          <w:rFonts w:ascii="Arial" w:hAnsi="Arial" w:cs="Arial"/>
        </w:rPr>
        <w:t>La Ruta Diagnóstica Temprana y de Atención incorporará equipos multidisciplinarios, que incluyan la investigación, atención, diagnóstico temprano, tratamiento con abordaje integral y de urgencias, y dispondrá de apoyo a los pacientes incluyendo, pero sin limitarse a prácticas de autocuidado, salud menstrual, violencia ginecológica, prevención de discriminación basada en género, raza, clase, orientación sexual o identidad de género.</w:t>
      </w:r>
    </w:p>
    <w:p w14:paraId="670E8288" w14:textId="77777777" w:rsidR="0061490D" w:rsidRDefault="0061490D" w:rsidP="00532977">
      <w:pPr>
        <w:pStyle w:val="Sinespaciado"/>
        <w:jc w:val="both"/>
        <w:rPr>
          <w:rFonts w:ascii="Arial" w:hAnsi="Arial" w:cs="Arial"/>
          <w:b/>
        </w:rPr>
      </w:pPr>
    </w:p>
    <w:p w14:paraId="7374D88A" w14:textId="0D894AFD" w:rsidR="00A644B0" w:rsidRPr="00532977" w:rsidRDefault="00A644B0" w:rsidP="00532977">
      <w:pPr>
        <w:pStyle w:val="Sinespaciado"/>
        <w:jc w:val="both"/>
        <w:rPr>
          <w:rFonts w:ascii="Arial" w:hAnsi="Arial" w:cs="Arial"/>
        </w:rPr>
      </w:pPr>
      <w:r w:rsidRPr="00532977">
        <w:rPr>
          <w:rFonts w:ascii="Arial" w:hAnsi="Arial" w:cs="Arial"/>
          <w:b/>
        </w:rPr>
        <w:t>ARTÍCULO 9o. PROTECCIÓN REFORZADA</w:t>
      </w:r>
      <w:r w:rsidRPr="00532977">
        <w:rPr>
          <w:rFonts w:ascii="Arial" w:hAnsi="Arial" w:cs="Arial"/>
        </w:rPr>
        <w:t xml:space="preserve">. </w:t>
      </w:r>
    </w:p>
    <w:p w14:paraId="64A40F2E" w14:textId="77777777" w:rsidR="00A644B0" w:rsidRPr="00532977" w:rsidRDefault="00A644B0" w:rsidP="00532977">
      <w:pPr>
        <w:pStyle w:val="Sinespaciado"/>
        <w:jc w:val="both"/>
        <w:rPr>
          <w:rFonts w:ascii="Arial" w:hAnsi="Arial" w:cs="Arial"/>
        </w:rPr>
      </w:pPr>
      <w:r w:rsidRPr="00532977">
        <w:rPr>
          <w:rFonts w:ascii="Arial" w:hAnsi="Arial" w:cs="Arial"/>
        </w:rPr>
        <w:t>La endometriosis no será causa de discriminación en ningún ámbito y, en particular, no podrá ser invocada como causal legítima de despido en la relación de trabajo, tanto en el sector público como en el privado.</w:t>
      </w:r>
    </w:p>
    <w:p w14:paraId="05AD0804" w14:textId="77777777" w:rsidR="0061490D" w:rsidRDefault="0061490D" w:rsidP="00532977">
      <w:pPr>
        <w:pStyle w:val="Sinespaciado"/>
        <w:jc w:val="both"/>
        <w:rPr>
          <w:rFonts w:ascii="Arial" w:hAnsi="Arial" w:cs="Arial"/>
        </w:rPr>
      </w:pPr>
    </w:p>
    <w:p w14:paraId="04E74B08" w14:textId="32B28535" w:rsidR="00A644B0" w:rsidRPr="00532977" w:rsidRDefault="00A644B0" w:rsidP="00532977">
      <w:pPr>
        <w:pStyle w:val="Sinespaciado"/>
        <w:jc w:val="both"/>
        <w:rPr>
          <w:rFonts w:ascii="Arial" w:hAnsi="Arial" w:cs="Arial"/>
        </w:rPr>
      </w:pPr>
      <w:r w:rsidRPr="00532977">
        <w:rPr>
          <w:rFonts w:ascii="Arial" w:hAnsi="Arial" w:cs="Arial"/>
        </w:rPr>
        <w:t>Toda persona trabajadora que padezca endometriosis tendrá derecho a que se le reconozca las incapacidades o discapacidades que correspondan según lo dispuesto por el Ministerio de Salud y Protección Social. Una persona diagnosticada con endometriosis sólo podrá ser despedida o destituida de su puesto de trabajo por causa justificada, previa autorización del Ministerio de Trabajo, otorgándole toda la protección y garantías legales y procesales establecidas a favor de los trabajadores que padecen enfermedades crónicas degenerativas que produzcan discapacidad laboral.</w:t>
      </w:r>
    </w:p>
    <w:p w14:paraId="14AE7906" w14:textId="77777777" w:rsidR="0061490D" w:rsidRDefault="0061490D" w:rsidP="00532977">
      <w:pPr>
        <w:pStyle w:val="Sinespaciado"/>
        <w:jc w:val="both"/>
        <w:rPr>
          <w:rFonts w:ascii="Arial" w:hAnsi="Arial" w:cs="Arial"/>
        </w:rPr>
      </w:pPr>
    </w:p>
    <w:p w14:paraId="383613ED" w14:textId="5A19390C" w:rsidR="00A644B0" w:rsidRPr="00532977" w:rsidRDefault="00A644B0" w:rsidP="00532977">
      <w:pPr>
        <w:pStyle w:val="Sinespaciado"/>
        <w:jc w:val="both"/>
        <w:rPr>
          <w:rFonts w:ascii="Arial" w:hAnsi="Arial" w:cs="Arial"/>
        </w:rPr>
      </w:pPr>
      <w:r w:rsidRPr="00532977">
        <w:rPr>
          <w:rFonts w:ascii="Arial" w:hAnsi="Arial" w:cs="Arial"/>
        </w:rPr>
        <w:t>Para las personas en procesos de educación escolar, universitaria o de cualquier tipo, tendrá acceso a las medidas de protección que correspondan para garantizar su derecho al acceso a la educación, incluyendo, pero sin limitarse, al uso de las tecnologías de la información y las comunicaciones.</w:t>
      </w:r>
    </w:p>
    <w:p w14:paraId="47946F67" w14:textId="77777777" w:rsidR="0061490D" w:rsidRDefault="0061490D" w:rsidP="00532977">
      <w:pPr>
        <w:pStyle w:val="Sinespaciado"/>
        <w:jc w:val="both"/>
        <w:rPr>
          <w:rFonts w:ascii="Arial" w:hAnsi="Arial" w:cs="Arial"/>
          <w:b/>
        </w:rPr>
      </w:pPr>
    </w:p>
    <w:p w14:paraId="0DA73069" w14:textId="046591BB" w:rsidR="00A644B0" w:rsidRPr="00532977" w:rsidRDefault="00A644B0" w:rsidP="00532977">
      <w:pPr>
        <w:pStyle w:val="Sinespaciado"/>
        <w:jc w:val="both"/>
        <w:rPr>
          <w:rFonts w:ascii="Arial" w:hAnsi="Arial" w:cs="Arial"/>
        </w:rPr>
      </w:pPr>
      <w:r w:rsidRPr="00532977">
        <w:rPr>
          <w:rFonts w:ascii="Arial" w:hAnsi="Arial" w:cs="Arial"/>
          <w:b/>
        </w:rPr>
        <w:t>ARTÍCULO 10o. DÍA NACIONAL DE LA ENDOMETRIOSIS</w:t>
      </w:r>
      <w:r w:rsidRPr="00532977">
        <w:rPr>
          <w:rFonts w:ascii="Arial" w:hAnsi="Arial" w:cs="Arial"/>
        </w:rPr>
        <w:t xml:space="preserve">. </w:t>
      </w:r>
    </w:p>
    <w:p w14:paraId="068C5364" w14:textId="77777777" w:rsidR="0061490D" w:rsidRDefault="0061490D" w:rsidP="00532977">
      <w:pPr>
        <w:pStyle w:val="Sinespaciado"/>
        <w:jc w:val="both"/>
        <w:rPr>
          <w:rFonts w:ascii="Arial" w:hAnsi="Arial" w:cs="Arial"/>
        </w:rPr>
      </w:pPr>
    </w:p>
    <w:p w14:paraId="61F8E04B" w14:textId="34283BD6" w:rsidR="00A644B0" w:rsidRPr="00532977" w:rsidRDefault="00A644B0" w:rsidP="00532977">
      <w:pPr>
        <w:pStyle w:val="Sinespaciado"/>
        <w:jc w:val="both"/>
        <w:rPr>
          <w:rFonts w:ascii="Arial" w:hAnsi="Arial" w:cs="Arial"/>
        </w:rPr>
      </w:pPr>
      <w:r w:rsidRPr="00532977">
        <w:rPr>
          <w:rFonts w:ascii="Arial" w:hAnsi="Arial" w:cs="Arial"/>
        </w:rPr>
        <w:t>Institúyase el catorce (14) de marzo de cada año como el Día Nacional de la concientización y prevención de la Endometriosis, en consonancia con el Día Mundial de la Endometriosis establecido por la Organización Mundial de la Salud.</w:t>
      </w:r>
    </w:p>
    <w:p w14:paraId="3F4D1D32" w14:textId="77777777" w:rsidR="0061490D" w:rsidRDefault="0061490D" w:rsidP="00532977">
      <w:pPr>
        <w:pStyle w:val="Sinespaciado"/>
        <w:jc w:val="both"/>
        <w:rPr>
          <w:rFonts w:ascii="Arial" w:hAnsi="Arial" w:cs="Arial"/>
          <w:highlight w:val="white"/>
        </w:rPr>
      </w:pPr>
    </w:p>
    <w:p w14:paraId="23C18746" w14:textId="24828C4D" w:rsidR="00A644B0" w:rsidRPr="00532977" w:rsidRDefault="00A644B0" w:rsidP="00532977">
      <w:pPr>
        <w:pStyle w:val="Sinespaciado"/>
        <w:jc w:val="both"/>
        <w:rPr>
          <w:rFonts w:ascii="Arial" w:hAnsi="Arial" w:cs="Arial"/>
        </w:rPr>
      </w:pPr>
      <w:r w:rsidRPr="00532977">
        <w:rPr>
          <w:rFonts w:ascii="Arial" w:hAnsi="Arial" w:cs="Arial"/>
          <w:highlight w:val="white"/>
        </w:rPr>
        <w:t>Todas las entidades públicas del orden nacional, regional y municipal, con competencias relacionadas con el objeto de la presente ley, dispondrán de actividades, campañas, iniciativas que se puedan ejecutar con especial énfasis en los meses de marzo de cada año. </w:t>
      </w:r>
    </w:p>
    <w:p w14:paraId="3AB51DB3" w14:textId="77777777" w:rsidR="0061490D" w:rsidRDefault="0061490D" w:rsidP="00532977">
      <w:pPr>
        <w:pStyle w:val="Sinespaciado"/>
        <w:jc w:val="both"/>
        <w:rPr>
          <w:rFonts w:ascii="Arial" w:hAnsi="Arial" w:cs="Arial"/>
        </w:rPr>
      </w:pPr>
    </w:p>
    <w:p w14:paraId="1079A389" w14:textId="4ECD6B09" w:rsidR="00A644B0" w:rsidRPr="00532977" w:rsidRDefault="00A644B0" w:rsidP="00532977">
      <w:pPr>
        <w:pStyle w:val="Sinespaciado"/>
        <w:jc w:val="both"/>
        <w:rPr>
          <w:rFonts w:ascii="Arial" w:hAnsi="Arial" w:cs="Arial"/>
        </w:rPr>
      </w:pPr>
      <w:r w:rsidRPr="00532977">
        <w:rPr>
          <w:rFonts w:ascii="Arial" w:hAnsi="Arial" w:cs="Arial"/>
        </w:rPr>
        <w:t>En el marco del Día Nacional de la Endometriosis y durante el mes de marzo de cada año, se implementará una campaña pedagógica y de difusión que tenga por objeto</w:t>
      </w:r>
      <w:r w:rsidR="0061490D">
        <w:rPr>
          <w:rFonts w:ascii="Arial" w:hAnsi="Arial" w:cs="Arial"/>
        </w:rPr>
        <w:t xml:space="preserve"> </w:t>
      </w:r>
      <w:r w:rsidRPr="00532977">
        <w:rPr>
          <w:rFonts w:ascii="Arial" w:hAnsi="Arial" w:cs="Arial"/>
        </w:rPr>
        <w:t xml:space="preserve">informar y concientizar </w:t>
      </w:r>
      <w:r w:rsidRPr="00532977">
        <w:rPr>
          <w:rFonts w:ascii="Arial" w:hAnsi="Arial" w:cs="Arial"/>
        </w:rPr>
        <w:lastRenderedPageBreak/>
        <w:t>sobre las características, grados, síntomas y consecuencias de la Endometriosis, a fin de incentivar la detección temprana, control y posterior abordaje integral, en el marco de los programas establecidos o a establecerse por el Gobierno Nacional a través de los organismos competentes</w:t>
      </w:r>
    </w:p>
    <w:p w14:paraId="65D47C32" w14:textId="77777777" w:rsidR="0061490D" w:rsidRDefault="0061490D" w:rsidP="00532977">
      <w:pPr>
        <w:pStyle w:val="Sinespaciado"/>
        <w:jc w:val="both"/>
        <w:rPr>
          <w:rFonts w:ascii="Arial" w:hAnsi="Arial" w:cs="Arial"/>
          <w:b/>
          <w:highlight w:val="white"/>
        </w:rPr>
      </w:pPr>
    </w:p>
    <w:p w14:paraId="25836AD4" w14:textId="399009CB" w:rsidR="00A644B0" w:rsidRPr="00532977" w:rsidRDefault="00A644B0" w:rsidP="00532977">
      <w:pPr>
        <w:pStyle w:val="Sinespaciado"/>
        <w:jc w:val="both"/>
        <w:rPr>
          <w:rFonts w:ascii="Arial" w:hAnsi="Arial" w:cs="Arial"/>
        </w:rPr>
      </w:pPr>
      <w:r w:rsidRPr="00532977">
        <w:rPr>
          <w:rFonts w:ascii="Arial" w:hAnsi="Arial" w:cs="Arial"/>
          <w:b/>
          <w:highlight w:val="white"/>
        </w:rPr>
        <w:t>Parágrafo:</w:t>
      </w:r>
      <w:r w:rsidRPr="00532977">
        <w:rPr>
          <w:rFonts w:ascii="Arial" w:hAnsi="Arial" w:cs="Arial"/>
          <w:highlight w:val="white"/>
        </w:rPr>
        <w:t xml:space="preserve"> El Gobierno Nacional y los entes descentralizados podrán disponer de apoyos necesarios para las organizaciones médicas y de la sociedad civil, incluyendo pacientes y familiares, para la realización de eventos y campañas durante el mes de marzo y en especial el día 14 de marzo, día internacional de concientización y prevención de la endometriosis</w:t>
      </w:r>
      <w:r w:rsidRPr="00532977">
        <w:rPr>
          <w:rFonts w:ascii="Arial" w:hAnsi="Arial" w:cs="Arial"/>
        </w:rPr>
        <w:t>.</w:t>
      </w:r>
    </w:p>
    <w:p w14:paraId="5320AFA4" w14:textId="77777777" w:rsidR="0061490D" w:rsidRDefault="0061490D" w:rsidP="00532977">
      <w:pPr>
        <w:pStyle w:val="Sinespaciado"/>
        <w:jc w:val="both"/>
        <w:rPr>
          <w:rFonts w:ascii="Arial" w:hAnsi="Arial" w:cs="Arial"/>
          <w:b/>
          <w:i/>
          <w:highlight w:val="white"/>
        </w:rPr>
      </w:pPr>
    </w:p>
    <w:p w14:paraId="3DA6195D" w14:textId="2A94B7C4" w:rsidR="00A644B0" w:rsidRPr="00D405CA" w:rsidRDefault="00D405CA" w:rsidP="00532977">
      <w:pPr>
        <w:pStyle w:val="Sinespaciado"/>
        <w:jc w:val="both"/>
        <w:rPr>
          <w:rFonts w:ascii="Arial" w:hAnsi="Arial" w:cs="Arial"/>
        </w:rPr>
      </w:pPr>
      <w:r w:rsidRPr="00D405CA">
        <w:rPr>
          <w:rFonts w:ascii="Arial" w:hAnsi="Arial" w:cs="Arial"/>
          <w:b/>
          <w:highlight w:val="white"/>
        </w:rPr>
        <w:t>ARTÍCULO 11°. CAMPAÑAS DE EDUCACIÓN Y SENSIBILIZACIÓN </w:t>
      </w:r>
    </w:p>
    <w:p w14:paraId="7BBA464F" w14:textId="77777777" w:rsidR="0061490D" w:rsidRDefault="0061490D" w:rsidP="00532977">
      <w:pPr>
        <w:pStyle w:val="Sinespaciado"/>
        <w:jc w:val="both"/>
        <w:rPr>
          <w:rFonts w:ascii="Arial" w:hAnsi="Arial" w:cs="Arial"/>
        </w:rPr>
      </w:pPr>
    </w:p>
    <w:p w14:paraId="2827D02A" w14:textId="27FEF99A" w:rsidR="00A644B0" w:rsidRPr="00532977" w:rsidRDefault="00A644B0" w:rsidP="00532977">
      <w:pPr>
        <w:pStyle w:val="Sinespaciado"/>
        <w:jc w:val="both"/>
        <w:rPr>
          <w:rFonts w:ascii="Arial" w:hAnsi="Arial" w:cs="Arial"/>
        </w:rPr>
      </w:pPr>
      <w:r w:rsidRPr="00532977">
        <w:rPr>
          <w:rFonts w:ascii="Arial" w:hAnsi="Arial" w:cs="Arial"/>
        </w:rPr>
        <w:t>El Ministerio de Salud y Protección Social, en coordinación con el Ministerio de Educación, diseñarán y adoptarán campañas de educación y sensibilización, tanto para el público en general, como para los menores de edad en instituciones educativas, orientadas a generar conciencia y sensibilización sobre la enfermedad de endometriosis, sus síntomas y prevención, así como a los asuntos relacionados con la enfermedad, tales como educación sexual y de género, reconocimiento y sensibilización ante el proceso menstrual y su estigmatización, incluyendo el dolor menstrual y los elementos de higiene, entre otros. En los programas de educación sexual se deberá incluir igualmente información sobre endometriosis, como parte de la educación en sexualidad, salud y derechos reproductivos. </w:t>
      </w:r>
    </w:p>
    <w:p w14:paraId="3CAAF75C" w14:textId="77777777" w:rsidR="0061490D" w:rsidRDefault="0061490D" w:rsidP="00532977">
      <w:pPr>
        <w:pStyle w:val="Sinespaciado"/>
        <w:jc w:val="both"/>
        <w:rPr>
          <w:rFonts w:ascii="Arial" w:hAnsi="Arial" w:cs="Arial"/>
        </w:rPr>
      </w:pPr>
    </w:p>
    <w:p w14:paraId="1A69AAC2" w14:textId="5067E437" w:rsidR="00A644B0" w:rsidRPr="00532977" w:rsidRDefault="00A644B0" w:rsidP="00532977">
      <w:pPr>
        <w:pStyle w:val="Sinespaciado"/>
        <w:jc w:val="both"/>
        <w:rPr>
          <w:rFonts w:ascii="Arial" w:hAnsi="Arial" w:cs="Arial"/>
        </w:rPr>
      </w:pPr>
      <w:r w:rsidRPr="00532977">
        <w:rPr>
          <w:rFonts w:ascii="Arial" w:hAnsi="Arial" w:cs="Arial"/>
        </w:rPr>
        <w:t>El Ministerio de Salud dispondrá de los espacios de difusión otorgados al Estado, tanto en canales de televisión abierta como en emisoras radiales, así como en las páginas y redes de las entidades públicas, para implementar campañas de difusión que tengan por objeto concientizar a la población sobre las características de la endometriosis, incentivar la consulta médica y la identificación de posibles síntomas.</w:t>
      </w:r>
    </w:p>
    <w:p w14:paraId="0A2B71EC" w14:textId="77777777" w:rsidR="0061490D" w:rsidRDefault="0061490D" w:rsidP="00532977">
      <w:pPr>
        <w:pStyle w:val="Sinespaciado"/>
        <w:jc w:val="both"/>
        <w:rPr>
          <w:rFonts w:ascii="Arial" w:hAnsi="Arial" w:cs="Arial"/>
          <w:b/>
        </w:rPr>
      </w:pPr>
    </w:p>
    <w:p w14:paraId="62C8A399" w14:textId="05E0550C" w:rsidR="00A644B0" w:rsidRPr="00532977" w:rsidRDefault="00A644B0" w:rsidP="00532977">
      <w:pPr>
        <w:pStyle w:val="Sinespaciado"/>
        <w:jc w:val="both"/>
        <w:rPr>
          <w:rFonts w:ascii="Arial" w:hAnsi="Arial" w:cs="Arial"/>
        </w:rPr>
      </w:pPr>
      <w:r w:rsidRPr="00532977">
        <w:rPr>
          <w:rFonts w:ascii="Arial" w:hAnsi="Arial" w:cs="Arial"/>
          <w:b/>
        </w:rPr>
        <w:t>ARTÍCULO 12o. RECURSOS Y FINANCIACIÓN</w:t>
      </w:r>
      <w:r w:rsidRPr="00532977">
        <w:rPr>
          <w:rFonts w:ascii="Arial" w:hAnsi="Arial" w:cs="Arial"/>
        </w:rPr>
        <w:t>. Autorícese al Gobierno Nacional para realizar las apropiaciones, acuerdos interadministrativos, las asociaciones público-privadas y las modificaciones presupuestales que sean necesarias para dar cumplimiento a la presente ley.</w:t>
      </w:r>
    </w:p>
    <w:p w14:paraId="7CC1E1F7" w14:textId="77777777" w:rsidR="0061490D" w:rsidRDefault="0061490D" w:rsidP="00532977">
      <w:pPr>
        <w:pStyle w:val="Sinespaciado"/>
        <w:jc w:val="both"/>
        <w:rPr>
          <w:rFonts w:ascii="Arial" w:hAnsi="Arial" w:cs="Arial"/>
          <w:b/>
          <w:i/>
          <w:highlight w:val="white"/>
        </w:rPr>
      </w:pPr>
    </w:p>
    <w:p w14:paraId="46391D97" w14:textId="214E273E" w:rsidR="00A644B0" w:rsidRPr="00D405CA" w:rsidRDefault="00D405CA" w:rsidP="00532977">
      <w:pPr>
        <w:pStyle w:val="Sinespaciado"/>
        <w:jc w:val="both"/>
        <w:rPr>
          <w:rFonts w:ascii="Arial" w:hAnsi="Arial" w:cs="Arial"/>
          <w:b/>
          <w:highlight w:val="white"/>
        </w:rPr>
      </w:pPr>
      <w:r w:rsidRPr="00D405CA">
        <w:rPr>
          <w:rFonts w:ascii="Arial" w:hAnsi="Arial" w:cs="Arial"/>
          <w:b/>
          <w:highlight w:val="white"/>
        </w:rPr>
        <w:t>ARTÍCULO 13. INFORME ANUAL AL CONGRESO</w:t>
      </w:r>
    </w:p>
    <w:p w14:paraId="487169EE" w14:textId="77777777" w:rsidR="00D405CA" w:rsidRDefault="00D405CA" w:rsidP="00532977">
      <w:pPr>
        <w:pStyle w:val="Sinespaciado"/>
        <w:jc w:val="both"/>
        <w:rPr>
          <w:rFonts w:ascii="Arial" w:hAnsi="Arial" w:cs="Arial"/>
          <w:highlight w:val="white"/>
        </w:rPr>
      </w:pPr>
    </w:p>
    <w:p w14:paraId="1831111C" w14:textId="52595728" w:rsidR="00A644B0" w:rsidRPr="00532977" w:rsidRDefault="00A644B0" w:rsidP="00532977">
      <w:pPr>
        <w:pStyle w:val="Sinespaciado"/>
        <w:jc w:val="both"/>
        <w:rPr>
          <w:rFonts w:ascii="Arial" w:hAnsi="Arial" w:cs="Arial"/>
        </w:rPr>
      </w:pPr>
      <w:r w:rsidRPr="00532977">
        <w:rPr>
          <w:rFonts w:ascii="Arial" w:hAnsi="Arial" w:cs="Arial"/>
          <w:highlight w:val="white"/>
        </w:rPr>
        <w:t xml:space="preserve">El Gobierno Nacional deberá presentar de forma anual a las Comisiones Séptimas del Congreso de la República, un informe sobre los avances y seguimiento de la implementación de la Política Pública de </w:t>
      </w:r>
      <w:r w:rsidRPr="00532977">
        <w:rPr>
          <w:rFonts w:ascii="Arial" w:hAnsi="Arial" w:cs="Arial"/>
        </w:rPr>
        <w:t>abordaje integral de la endometriosis, el cual deberá ser radicado en el mes de marzo de cada legislatura.</w:t>
      </w:r>
    </w:p>
    <w:p w14:paraId="5EB4478A" w14:textId="77777777" w:rsidR="0061490D" w:rsidRDefault="0061490D" w:rsidP="00532977">
      <w:pPr>
        <w:pStyle w:val="Sinespaciado"/>
        <w:jc w:val="both"/>
        <w:rPr>
          <w:rFonts w:ascii="Arial" w:hAnsi="Arial" w:cs="Arial"/>
          <w:b/>
        </w:rPr>
      </w:pPr>
    </w:p>
    <w:p w14:paraId="2D6A1E30" w14:textId="3506BE03" w:rsidR="00A644B0" w:rsidRPr="00532977" w:rsidRDefault="00A644B0" w:rsidP="00532977">
      <w:pPr>
        <w:pStyle w:val="Sinespaciado"/>
        <w:jc w:val="both"/>
        <w:rPr>
          <w:rFonts w:ascii="Arial" w:hAnsi="Arial" w:cs="Arial"/>
        </w:rPr>
      </w:pPr>
      <w:r w:rsidRPr="00532977">
        <w:rPr>
          <w:rFonts w:ascii="Arial" w:hAnsi="Arial" w:cs="Arial"/>
          <w:b/>
        </w:rPr>
        <w:t>ARTÍCULO 14. VIGENCIA.</w:t>
      </w:r>
      <w:r w:rsidRPr="00532977">
        <w:rPr>
          <w:rFonts w:ascii="Arial" w:hAnsi="Arial" w:cs="Arial"/>
        </w:rPr>
        <w:t xml:space="preserve"> La presente ley rige a partir de su promulgación, fecha a partir de la cual el Gobierno Nacional cuenta con un (1) año para reglamentar las disposiciones aquí contenidas, y deroga las disposiciones que le sean contrarias.</w:t>
      </w:r>
    </w:p>
    <w:p w14:paraId="2E996047" w14:textId="4A95D7B3" w:rsidR="00A644B0" w:rsidRPr="00A644B0" w:rsidRDefault="00A644B0" w:rsidP="00A644B0">
      <w:pPr>
        <w:shd w:val="clear" w:color="auto" w:fill="FFFFFF"/>
        <w:spacing w:line="240" w:lineRule="auto"/>
        <w:jc w:val="both"/>
        <w:rPr>
          <w:rFonts w:ascii="Arial" w:eastAsia="Arial" w:hAnsi="Arial" w:cs="Arial"/>
        </w:rPr>
      </w:pPr>
    </w:p>
    <w:p w14:paraId="5E66805C" w14:textId="77777777" w:rsidR="0061490D" w:rsidRDefault="0061490D" w:rsidP="00A644B0">
      <w:pPr>
        <w:pStyle w:val="Sinespaciado"/>
        <w:jc w:val="both"/>
        <w:rPr>
          <w:rFonts w:ascii="Arial" w:hAnsi="Arial" w:cs="Arial"/>
          <w:b/>
        </w:rPr>
      </w:pPr>
    </w:p>
    <w:p w14:paraId="3429E4EB" w14:textId="77777777" w:rsidR="0061490D" w:rsidRDefault="0061490D" w:rsidP="00A644B0">
      <w:pPr>
        <w:pStyle w:val="Sinespaciado"/>
        <w:jc w:val="both"/>
        <w:rPr>
          <w:rFonts w:ascii="Arial" w:hAnsi="Arial" w:cs="Arial"/>
          <w:b/>
        </w:rPr>
      </w:pPr>
    </w:p>
    <w:p w14:paraId="18246A03" w14:textId="77777777" w:rsidR="0061490D" w:rsidRDefault="0061490D" w:rsidP="00A644B0">
      <w:pPr>
        <w:pStyle w:val="Sinespaciado"/>
        <w:jc w:val="both"/>
        <w:rPr>
          <w:rFonts w:ascii="Arial" w:hAnsi="Arial" w:cs="Arial"/>
          <w:b/>
        </w:rPr>
      </w:pPr>
    </w:p>
    <w:p w14:paraId="370304BC" w14:textId="77777777" w:rsidR="00E302D2" w:rsidRDefault="00E302D2" w:rsidP="0061490D">
      <w:pPr>
        <w:pStyle w:val="Sinespaciado"/>
        <w:rPr>
          <w:rFonts w:ascii="Arial" w:hAnsi="Arial" w:cs="Arial"/>
          <w:b/>
        </w:rPr>
      </w:pPr>
    </w:p>
    <w:p w14:paraId="74D0DDAC" w14:textId="77777777" w:rsidR="00E302D2" w:rsidRDefault="00E302D2" w:rsidP="0061490D">
      <w:pPr>
        <w:pStyle w:val="Sinespaciado"/>
        <w:rPr>
          <w:rFonts w:ascii="Arial" w:hAnsi="Arial" w:cs="Arial"/>
          <w:b/>
        </w:rPr>
      </w:pPr>
    </w:p>
    <w:p w14:paraId="04EEE4F7" w14:textId="09D96A54" w:rsidR="0061490D" w:rsidRDefault="00A644B0" w:rsidP="0061490D">
      <w:pPr>
        <w:pStyle w:val="Sinespaciado"/>
        <w:rPr>
          <w:rFonts w:ascii="Arial" w:hAnsi="Arial" w:cs="Arial"/>
          <w:b/>
          <w:spacing w:val="-5"/>
        </w:rPr>
      </w:pPr>
      <w:r w:rsidRPr="0061490D">
        <w:rPr>
          <w:rFonts w:ascii="Arial" w:hAnsi="Arial" w:cs="Arial"/>
          <w:b/>
        </w:rPr>
        <w:t>JUAN CARLOS REINALES AGUDELO</w:t>
      </w:r>
      <w:r w:rsidR="00E302D2">
        <w:rPr>
          <w:rFonts w:ascii="Arial" w:hAnsi="Arial" w:cs="Arial"/>
          <w:b/>
        </w:rPr>
        <w:tab/>
      </w:r>
      <w:r w:rsidR="00E302D2">
        <w:rPr>
          <w:rFonts w:ascii="Arial" w:hAnsi="Arial" w:cs="Arial"/>
          <w:b/>
        </w:rPr>
        <w:tab/>
      </w:r>
      <w:r w:rsidRPr="0061490D">
        <w:rPr>
          <w:rFonts w:ascii="Arial" w:hAnsi="Arial" w:cs="Arial"/>
          <w:b/>
          <w:spacing w:val="-5"/>
        </w:rPr>
        <w:t>OMAR DE JESÚS RESTREPO</w:t>
      </w:r>
      <w:r w:rsidR="00E302D2">
        <w:rPr>
          <w:rFonts w:ascii="Arial" w:hAnsi="Arial" w:cs="Arial"/>
          <w:b/>
          <w:spacing w:val="-5"/>
        </w:rPr>
        <w:t xml:space="preserve"> CORREA</w:t>
      </w:r>
    </w:p>
    <w:p w14:paraId="51128909" w14:textId="2006851F" w:rsidR="00E302D2" w:rsidRDefault="00E302D2" w:rsidP="0061490D">
      <w:pPr>
        <w:pStyle w:val="Sinespaciado"/>
        <w:rPr>
          <w:rFonts w:ascii="Arial" w:hAnsi="Arial" w:cs="Arial"/>
          <w:spacing w:val="-5"/>
        </w:rPr>
      </w:pPr>
      <w:r>
        <w:rPr>
          <w:rFonts w:ascii="Arial" w:hAnsi="Arial" w:cs="Arial"/>
          <w:spacing w:val="-5"/>
        </w:rPr>
        <w:t>Representante a la Cámara</w:t>
      </w:r>
      <w:r>
        <w:rPr>
          <w:rFonts w:ascii="Arial" w:hAnsi="Arial" w:cs="Arial"/>
          <w:spacing w:val="-5"/>
        </w:rPr>
        <w:tab/>
      </w:r>
      <w:r>
        <w:rPr>
          <w:rFonts w:ascii="Arial" w:hAnsi="Arial" w:cs="Arial"/>
          <w:spacing w:val="-5"/>
        </w:rPr>
        <w:tab/>
      </w:r>
      <w:r>
        <w:rPr>
          <w:rFonts w:ascii="Arial" w:hAnsi="Arial" w:cs="Arial"/>
          <w:spacing w:val="-5"/>
        </w:rPr>
        <w:tab/>
      </w:r>
      <w:r>
        <w:rPr>
          <w:rFonts w:ascii="Arial" w:hAnsi="Arial" w:cs="Arial"/>
          <w:spacing w:val="-5"/>
        </w:rPr>
        <w:tab/>
        <w:t>Representante a la Cámara</w:t>
      </w:r>
    </w:p>
    <w:sectPr w:rsidR="00E302D2"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CA297" w14:textId="77777777" w:rsidR="00FF2CFD" w:rsidRDefault="00FF2CFD" w:rsidP="001A75AA">
      <w:pPr>
        <w:spacing w:after="0" w:line="240" w:lineRule="auto"/>
      </w:pPr>
      <w:r>
        <w:separator/>
      </w:r>
    </w:p>
  </w:endnote>
  <w:endnote w:type="continuationSeparator" w:id="0">
    <w:p w14:paraId="7D72A607" w14:textId="77777777" w:rsidR="00FF2CFD" w:rsidRDefault="00FF2CF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E302D2" w:rsidRDefault="00E302D2">
    <w:pPr>
      <w:pStyle w:val="Piedepgina"/>
      <w:jc w:val="right"/>
    </w:pPr>
  </w:p>
  <w:p w14:paraId="02C2EC90" w14:textId="77777777" w:rsidR="00E302D2" w:rsidRDefault="00E302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9A0E" w14:textId="77777777" w:rsidR="00FF2CFD" w:rsidRDefault="00FF2CFD" w:rsidP="001A75AA">
      <w:pPr>
        <w:spacing w:after="0" w:line="240" w:lineRule="auto"/>
      </w:pPr>
      <w:r>
        <w:separator/>
      </w:r>
    </w:p>
  </w:footnote>
  <w:footnote w:type="continuationSeparator" w:id="0">
    <w:p w14:paraId="428B8D26" w14:textId="77777777" w:rsidR="00FF2CFD" w:rsidRDefault="00FF2CFD"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E302D2" w:rsidRDefault="00E302D2">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4CF"/>
    <w:multiLevelType w:val="hybridMultilevel"/>
    <w:tmpl w:val="E674888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51232A"/>
    <w:multiLevelType w:val="hybridMultilevel"/>
    <w:tmpl w:val="90BA97A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F94FB3"/>
    <w:multiLevelType w:val="multilevel"/>
    <w:tmpl w:val="4CF83FF4"/>
    <w:lvl w:ilvl="0">
      <w:start w:val="4"/>
      <w:numFmt w:val="decimal"/>
      <w:lvlText w:val="%1"/>
      <w:lvlJc w:val="left"/>
      <w:pPr>
        <w:ind w:left="972" w:hanging="708"/>
      </w:pPr>
    </w:lvl>
    <w:lvl w:ilvl="1">
      <w:start w:val="1"/>
      <w:numFmt w:val="lowerLetter"/>
      <w:lvlText w:val="%2)"/>
      <w:lvlJc w:val="left"/>
      <w:pPr>
        <w:ind w:left="991" w:hanging="708"/>
      </w:pPr>
      <w:rPr>
        <w:b/>
        <w:sz w:val="23"/>
        <w:szCs w:val="23"/>
        <w:u w:val="none"/>
      </w:rPr>
    </w:lvl>
    <w:lvl w:ilvl="2">
      <w:start w:val="1"/>
      <w:numFmt w:val="bullet"/>
      <w:lvlText w:val="•"/>
      <w:lvlJc w:val="left"/>
      <w:pPr>
        <w:ind w:left="2660" w:hanging="708"/>
      </w:pPr>
    </w:lvl>
    <w:lvl w:ilvl="3">
      <w:start w:val="1"/>
      <w:numFmt w:val="bullet"/>
      <w:lvlText w:val="•"/>
      <w:lvlJc w:val="left"/>
      <w:pPr>
        <w:ind w:left="3500" w:hanging="708"/>
      </w:pPr>
    </w:lvl>
    <w:lvl w:ilvl="4">
      <w:start w:val="1"/>
      <w:numFmt w:val="bullet"/>
      <w:lvlText w:val="•"/>
      <w:lvlJc w:val="left"/>
      <w:pPr>
        <w:ind w:left="4340" w:hanging="708"/>
      </w:pPr>
    </w:lvl>
    <w:lvl w:ilvl="5">
      <w:start w:val="1"/>
      <w:numFmt w:val="bullet"/>
      <w:lvlText w:val="•"/>
      <w:lvlJc w:val="left"/>
      <w:pPr>
        <w:ind w:left="5180" w:hanging="708"/>
      </w:pPr>
    </w:lvl>
    <w:lvl w:ilvl="6">
      <w:start w:val="1"/>
      <w:numFmt w:val="bullet"/>
      <w:lvlText w:val="•"/>
      <w:lvlJc w:val="left"/>
      <w:pPr>
        <w:ind w:left="6020" w:hanging="708"/>
      </w:pPr>
    </w:lvl>
    <w:lvl w:ilvl="7">
      <w:start w:val="1"/>
      <w:numFmt w:val="bullet"/>
      <w:lvlText w:val="•"/>
      <w:lvlJc w:val="left"/>
      <w:pPr>
        <w:ind w:left="6860" w:hanging="708"/>
      </w:pPr>
    </w:lvl>
    <w:lvl w:ilvl="8">
      <w:start w:val="1"/>
      <w:numFmt w:val="bullet"/>
      <w:lvlText w:val="•"/>
      <w:lvlJc w:val="left"/>
      <w:pPr>
        <w:ind w:left="7700" w:hanging="708"/>
      </w:pPr>
    </w:lvl>
  </w:abstractNum>
  <w:abstractNum w:abstractNumId="3" w15:restartNumberingAfterBreak="0">
    <w:nsid w:val="0D2B4A4B"/>
    <w:multiLevelType w:val="multilevel"/>
    <w:tmpl w:val="DB5610EA"/>
    <w:lvl w:ilvl="0">
      <w:start w:val="10"/>
      <w:numFmt w:val="decimal"/>
      <w:lvlText w:val="%1"/>
      <w:lvlJc w:val="left"/>
      <w:pPr>
        <w:ind w:left="972" w:hanging="708"/>
      </w:pPr>
    </w:lvl>
    <w:lvl w:ilvl="1">
      <w:start w:val="1"/>
      <w:numFmt w:val="lowerLetter"/>
      <w:lvlText w:val="%2)"/>
      <w:lvlJc w:val="left"/>
      <w:pPr>
        <w:ind w:left="972" w:hanging="708"/>
      </w:pPr>
      <w:rPr>
        <w:b/>
        <w:sz w:val="24"/>
        <w:szCs w:val="24"/>
        <w:u w:val="none"/>
      </w:rPr>
    </w:lvl>
    <w:lvl w:ilvl="2">
      <w:start w:val="1"/>
      <w:numFmt w:val="bullet"/>
      <w:lvlText w:val="•"/>
      <w:lvlJc w:val="left"/>
      <w:pPr>
        <w:ind w:left="2660" w:hanging="708"/>
      </w:pPr>
    </w:lvl>
    <w:lvl w:ilvl="3">
      <w:start w:val="1"/>
      <w:numFmt w:val="bullet"/>
      <w:lvlText w:val="•"/>
      <w:lvlJc w:val="left"/>
      <w:pPr>
        <w:ind w:left="3500" w:hanging="708"/>
      </w:pPr>
    </w:lvl>
    <w:lvl w:ilvl="4">
      <w:start w:val="1"/>
      <w:numFmt w:val="bullet"/>
      <w:lvlText w:val="•"/>
      <w:lvlJc w:val="left"/>
      <w:pPr>
        <w:ind w:left="4340" w:hanging="708"/>
      </w:pPr>
    </w:lvl>
    <w:lvl w:ilvl="5">
      <w:start w:val="1"/>
      <w:numFmt w:val="bullet"/>
      <w:lvlText w:val="•"/>
      <w:lvlJc w:val="left"/>
      <w:pPr>
        <w:ind w:left="5180" w:hanging="708"/>
      </w:pPr>
    </w:lvl>
    <w:lvl w:ilvl="6">
      <w:start w:val="1"/>
      <w:numFmt w:val="bullet"/>
      <w:lvlText w:val="•"/>
      <w:lvlJc w:val="left"/>
      <w:pPr>
        <w:ind w:left="6020" w:hanging="708"/>
      </w:pPr>
    </w:lvl>
    <w:lvl w:ilvl="7">
      <w:start w:val="1"/>
      <w:numFmt w:val="bullet"/>
      <w:lvlText w:val="•"/>
      <w:lvlJc w:val="left"/>
      <w:pPr>
        <w:ind w:left="6860" w:hanging="708"/>
      </w:pPr>
    </w:lvl>
    <w:lvl w:ilvl="8">
      <w:start w:val="1"/>
      <w:numFmt w:val="bullet"/>
      <w:lvlText w:val="•"/>
      <w:lvlJc w:val="left"/>
      <w:pPr>
        <w:ind w:left="7700" w:hanging="708"/>
      </w:pPr>
    </w:lvl>
  </w:abstractNum>
  <w:abstractNum w:abstractNumId="4" w15:restartNumberingAfterBreak="0">
    <w:nsid w:val="26D02EBA"/>
    <w:multiLevelType w:val="multilevel"/>
    <w:tmpl w:val="3ACE81E6"/>
    <w:lvl w:ilvl="0">
      <w:start w:val="14"/>
      <w:numFmt w:val="decimal"/>
      <w:lvlText w:val="%1"/>
      <w:lvlJc w:val="left"/>
      <w:pPr>
        <w:ind w:left="480" w:hanging="720"/>
      </w:pPr>
    </w:lvl>
    <w:lvl w:ilvl="1">
      <w:start w:val="1"/>
      <w:numFmt w:val="lowerLetter"/>
      <w:lvlText w:val="%2)"/>
      <w:lvlJc w:val="left"/>
      <w:pPr>
        <w:ind w:left="1003" w:hanging="720"/>
      </w:pPr>
      <w:rPr>
        <w:b/>
        <w:sz w:val="24"/>
        <w:szCs w:val="24"/>
        <w:u w:val="none"/>
      </w:rPr>
    </w:lvl>
    <w:lvl w:ilvl="2">
      <w:start w:val="1"/>
      <w:numFmt w:val="bullet"/>
      <w:lvlText w:val="•"/>
      <w:lvlJc w:val="left"/>
      <w:pPr>
        <w:ind w:left="2260" w:hanging="720"/>
      </w:pPr>
    </w:lvl>
    <w:lvl w:ilvl="3">
      <w:start w:val="1"/>
      <w:numFmt w:val="bullet"/>
      <w:lvlText w:val="•"/>
      <w:lvlJc w:val="left"/>
      <w:pPr>
        <w:ind w:left="3150" w:hanging="720"/>
      </w:pPr>
    </w:lvl>
    <w:lvl w:ilvl="4">
      <w:start w:val="1"/>
      <w:numFmt w:val="bullet"/>
      <w:lvlText w:val="•"/>
      <w:lvlJc w:val="left"/>
      <w:pPr>
        <w:ind w:left="4040" w:hanging="720"/>
      </w:pPr>
    </w:lvl>
    <w:lvl w:ilvl="5">
      <w:start w:val="1"/>
      <w:numFmt w:val="bullet"/>
      <w:lvlText w:val="•"/>
      <w:lvlJc w:val="left"/>
      <w:pPr>
        <w:ind w:left="4930" w:hanging="720"/>
      </w:pPr>
    </w:lvl>
    <w:lvl w:ilvl="6">
      <w:start w:val="1"/>
      <w:numFmt w:val="bullet"/>
      <w:lvlText w:val="•"/>
      <w:lvlJc w:val="left"/>
      <w:pPr>
        <w:ind w:left="5820" w:hanging="720"/>
      </w:pPr>
    </w:lvl>
    <w:lvl w:ilvl="7">
      <w:start w:val="1"/>
      <w:numFmt w:val="bullet"/>
      <w:lvlText w:val="•"/>
      <w:lvlJc w:val="left"/>
      <w:pPr>
        <w:ind w:left="6710" w:hanging="720"/>
      </w:pPr>
    </w:lvl>
    <w:lvl w:ilvl="8">
      <w:start w:val="1"/>
      <w:numFmt w:val="bullet"/>
      <w:lvlText w:val="•"/>
      <w:lvlJc w:val="left"/>
      <w:pPr>
        <w:ind w:left="7600" w:hanging="720"/>
      </w:pPr>
    </w:lvl>
  </w:abstractNum>
  <w:abstractNum w:abstractNumId="5" w15:restartNumberingAfterBreak="0">
    <w:nsid w:val="32080C01"/>
    <w:multiLevelType w:val="hybridMultilevel"/>
    <w:tmpl w:val="5D8E8BA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6300F5"/>
    <w:multiLevelType w:val="hybridMultilevel"/>
    <w:tmpl w:val="E282535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E63FDD"/>
    <w:multiLevelType w:val="hybridMultilevel"/>
    <w:tmpl w:val="627EFFD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BF448C"/>
    <w:multiLevelType w:val="hybridMultilevel"/>
    <w:tmpl w:val="CB16814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3C3944"/>
    <w:multiLevelType w:val="hybridMultilevel"/>
    <w:tmpl w:val="47D88EE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62381B"/>
    <w:multiLevelType w:val="multilevel"/>
    <w:tmpl w:val="8550B9B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49E3510E"/>
    <w:multiLevelType w:val="multilevel"/>
    <w:tmpl w:val="DB54D156"/>
    <w:lvl w:ilvl="0">
      <w:start w:val="12"/>
      <w:numFmt w:val="decimal"/>
      <w:lvlText w:val="%1"/>
      <w:lvlJc w:val="left"/>
      <w:pPr>
        <w:ind w:left="460" w:hanging="460"/>
      </w:pPr>
      <w:rPr>
        <w:rFonts w:ascii="Arial" w:eastAsia="Arial" w:hAnsi="Arial" w:cs="Arial" w:hint="default"/>
        <w:color w:val="000000"/>
      </w:rPr>
    </w:lvl>
    <w:lvl w:ilvl="1">
      <w:start w:val="1"/>
      <w:numFmt w:val="lowerLetter"/>
      <w:lvlText w:val="%2)"/>
      <w:lvlJc w:val="left"/>
      <w:pPr>
        <w:ind w:left="460" w:hanging="460"/>
      </w:pPr>
      <w:rPr>
        <w:rFonts w:ascii="Arial" w:hAnsi="Arial" w:cs="Arial" w:hint="default"/>
        <w:b/>
        <w:color w:val="000000"/>
        <w:u w:val="none"/>
      </w:rPr>
    </w:lvl>
    <w:lvl w:ilvl="2">
      <w:start w:val="1"/>
      <w:numFmt w:val="decimal"/>
      <w:lvlText w:val="%1.%2.%3"/>
      <w:lvlJc w:val="left"/>
      <w:pPr>
        <w:ind w:left="720" w:hanging="720"/>
      </w:pPr>
      <w:rPr>
        <w:rFonts w:ascii="Arial" w:eastAsia="Arial" w:hAnsi="Arial" w:cs="Arial" w:hint="default"/>
        <w:color w:val="000000"/>
      </w:rPr>
    </w:lvl>
    <w:lvl w:ilvl="3">
      <w:start w:val="1"/>
      <w:numFmt w:val="decimal"/>
      <w:lvlText w:val="%1.%2.%3.%4"/>
      <w:lvlJc w:val="left"/>
      <w:pPr>
        <w:ind w:left="720" w:hanging="720"/>
      </w:pPr>
      <w:rPr>
        <w:rFonts w:ascii="Arial" w:eastAsia="Arial" w:hAnsi="Arial" w:cs="Arial" w:hint="default"/>
        <w:color w:val="000000"/>
      </w:rPr>
    </w:lvl>
    <w:lvl w:ilvl="4">
      <w:start w:val="1"/>
      <w:numFmt w:val="decimal"/>
      <w:lvlText w:val="%1.%2.%3.%4.%5"/>
      <w:lvlJc w:val="left"/>
      <w:pPr>
        <w:ind w:left="1080" w:hanging="1080"/>
      </w:pPr>
      <w:rPr>
        <w:rFonts w:ascii="Arial" w:eastAsia="Arial" w:hAnsi="Arial" w:cs="Arial" w:hint="default"/>
        <w:color w:val="000000"/>
      </w:rPr>
    </w:lvl>
    <w:lvl w:ilvl="5">
      <w:start w:val="1"/>
      <w:numFmt w:val="decimal"/>
      <w:lvlText w:val="%1.%2.%3.%4.%5.%6"/>
      <w:lvlJc w:val="left"/>
      <w:pPr>
        <w:ind w:left="1080" w:hanging="1080"/>
      </w:pPr>
      <w:rPr>
        <w:rFonts w:ascii="Arial" w:eastAsia="Arial" w:hAnsi="Arial" w:cs="Arial" w:hint="default"/>
        <w:color w:val="000000"/>
      </w:rPr>
    </w:lvl>
    <w:lvl w:ilvl="6">
      <w:start w:val="1"/>
      <w:numFmt w:val="decimal"/>
      <w:lvlText w:val="%1.%2.%3.%4.%5.%6.%7"/>
      <w:lvlJc w:val="left"/>
      <w:pPr>
        <w:ind w:left="1440" w:hanging="1440"/>
      </w:pPr>
      <w:rPr>
        <w:rFonts w:ascii="Arial" w:eastAsia="Arial" w:hAnsi="Arial" w:cs="Arial" w:hint="default"/>
        <w:color w:val="000000"/>
      </w:rPr>
    </w:lvl>
    <w:lvl w:ilvl="7">
      <w:start w:val="1"/>
      <w:numFmt w:val="decimal"/>
      <w:lvlText w:val="%1.%2.%3.%4.%5.%6.%7.%8"/>
      <w:lvlJc w:val="left"/>
      <w:pPr>
        <w:ind w:left="1440" w:hanging="1440"/>
      </w:pPr>
      <w:rPr>
        <w:rFonts w:ascii="Arial" w:eastAsia="Arial" w:hAnsi="Arial" w:cs="Arial" w:hint="default"/>
        <w:color w:val="000000"/>
      </w:rPr>
    </w:lvl>
    <w:lvl w:ilvl="8">
      <w:start w:val="1"/>
      <w:numFmt w:val="decimal"/>
      <w:lvlText w:val="%1.%2.%3.%4.%5.%6.%7.%8.%9"/>
      <w:lvlJc w:val="left"/>
      <w:pPr>
        <w:ind w:left="1800" w:hanging="1800"/>
      </w:pPr>
      <w:rPr>
        <w:rFonts w:ascii="Arial" w:eastAsia="Arial" w:hAnsi="Arial" w:cs="Arial" w:hint="default"/>
        <w:color w:val="000000"/>
      </w:rPr>
    </w:lvl>
  </w:abstractNum>
  <w:abstractNum w:abstractNumId="12" w15:restartNumberingAfterBreak="0">
    <w:nsid w:val="5B5A5191"/>
    <w:multiLevelType w:val="multilevel"/>
    <w:tmpl w:val="DAA8185A"/>
    <w:lvl w:ilvl="0">
      <w:start w:val="5"/>
      <w:numFmt w:val="decimal"/>
      <w:lvlText w:val="%1"/>
      <w:lvlJc w:val="left"/>
      <w:pPr>
        <w:ind w:left="907" w:hanging="645"/>
      </w:pPr>
    </w:lvl>
    <w:lvl w:ilvl="1">
      <w:start w:val="1"/>
      <w:numFmt w:val="lowerLetter"/>
      <w:lvlText w:val="%2)"/>
      <w:lvlJc w:val="left"/>
      <w:pPr>
        <w:ind w:left="907" w:hanging="645"/>
      </w:pPr>
      <w:rPr>
        <w:b/>
        <w:sz w:val="24"/>
        <w:szCs w:val="24"/>
        <w:u w:val="none"/>
      </w:rPr>
    </w:lvl>
    <w:lvl w:ilvl="2">
      <w:start w:val="1"/>
      <w:numFmt w:val="bullet"/>
      <w:lvlText w:val="•"/>
      <w:lvlJc w:val="left"/>
      <w:pPr>
        <w:ind w:left="2596" w:hanging="645"/>
      </w:pPr>
    </w:lvl>
    <w:lvl w:ilvl="3">
      <w:start w:val="1"/>
      <w:numFmt w:val="bullet"/>
      <w:lvlText w:val="•"/>
      <w:lvlJc w:val="left"/>
      <w:pPr>
        <w:ind w:left="3444" w:hanging="646"/>
      </w:pPr>
    </w:lvl>
    <w:lvl w:ilvl="4">
      <w:start w:val="1"/>
      <w:numFmt w:val="bullet"/>
      <w:lvlText w:val="•"/>
      <w:lvlJc w:val="left"/>
      <w:pPr>
        <w:ind w:left="4292" w:hanging="646"/>
      </w:pPr>
    </w:lvl>
    <w:lvl w:ilvl="5">
      <w:start w:val="1"/>
      <w:numFmt w:val="bullet"/>
      <w:lvlText w:val="•"/>
      <w:lvlJc w:val="left"/>
      <w:pPr>
        <w:ind w:left="5140" w:hanging="646"/>
      </w:pPr>
    </w:lvl>
    <w:lvl w:ilvl="6">
      <w:start w:val="1"/>
      <w:numFmt w:val="bullet"/>
      <w:lvlText w:val="•"/>
      <w:lvlJc w:val="left"/>
      <w:pPr>
        <w:ind w:left="5988" w:hanging="646"/>
      </w:pPr>
    </w:lvl>
    <w:lvl w:ilvl="7">
      <w:start w:val="1"/>
      <w:numFmt w:val="bullet"/>
      <w:lvlText w:val="•"/>
      <w:lvlJc w:val="left"/>
      <w:pPr>
        <w:ind w:left="6836" w:hanging="646"/>
      </w:pPr>
    </w:lvl>
    <w:lvl w:ilvl="8">
      <w:start w:val="1"/>
      <w:numFmt w:val="bullet"/>
      <w:lvlText w:val="•"/>
      <w:lvlJc w:val="left"/>
      <w:pPr>
        <w:ind w:left="7684" w:hanging="646"/>
      </w:pPr>
    </w:lvl>
  </w:abstractNum>
  <w:abstractNum w:abstractNumId="13" w15:restartNumberingAfterBreak="0">
    <w:nsid w:val="61875115"/>
    <w:multiLevelType w:val="multilevel"/>
    <w:tmpl w:val="BBEA9D66"/>
    <w:lvl w:ilvl="0">
      <w:start w:val="9"/>
      <w:numFmt w:val="decimal"/>
      <w:lvlText w:val="%1"/>
      <w:lvlJc w:val="left"/>
      <w:pPr>
        <w:ind w:left="827" w:hanging="458"/>
      </w:pPr>
    </w:lvl>
    <w:lvl w:ilvl="1">
      <w:start w:val="1"/>
      <w:numFmt w:val="lowerLetter"/>
      <w:lvlText w:val="%2)"/>
      <w:lvlJc w:val="left"/>
      <w:pPr>
        <w:ind w:left="827" w:hanging="458"/>
      </w:pPr>
      <w:rPr>
        <w:b/>
        <w:sz w:val="24"/>
        <w:szCs w:val="24"/>
        <w:u w:val="none"/>
      </w:rPr>
    </w:lvl>
    <w:lvl w:ilvl="2">
      <w:start w:val="1"/>
      <w:numFmt w:val="bullet"/>
      <w:lvlText w:val="•"/>
      <w:lvlJc w:val="left"/>
      <w:pPr>
        <w:ind w:left="2532" w:hanging="459"/>
      </w:pPr>
    </w:lvl>
    <w:lvl w:ilvl="3">
      <w:start w:val="1"/>
      <w:numFmt w:val="bullet"/>
      <w:lvlText w:val="•"/>
      <w:lvlJc w:val="left"/>
      <w:pPr>
        <w:ind w:left="3388" w:hanging="458"/>
      </w:pPr>
    </w:lvl>
    <w:lvl w:ilvl="4">
      <w:start w:val="1"/>
      <w:numFmt w:val="bullet"/>
      <w:lvlText w:val="•"/>
      <w:lvlJc w:val="left"/>
      <w:pPr>
        <w:ind w:left="4244" w:hanging="459"/>
      </w:pPr>
    </w:lvl>
    <w:lvl w:ilvl="5">
      <w:start w:val="1"/>
      <w:numFmt w:val="bullet"/>
      <w:lvlText w:val="•"/>
      <w:lvlJc w:val="left"/>
      <w:pPr>
        <w:ind w:left="5100" w:hanging="459"/>
      </w:pPr>
    </w:lvl>
    <w:lvl w:ilvl="6">
      <w:start w:val="1"/>
      <w:numFmt w:val="bullet"/>
      <w:lvlText w:val="•"/>
      <w:lvlJc w:val="left"/>
      <w:pPr>
        <w:ind w:left="5956" w:hanging="459"/>
      </w:pPr>
    </w:lvl>
    <w:lvl w:ilvl="7">
      <w:start w:val="1"/>
      <w:numFmt w:val="bullet"/>
      <w:lvlText w:val="•"/>
      <w:lvlJc w:val="left"/>
      <w:pPr>
        <w:ind w:left="6812" w:hanging="458"/>
      </w:pPr>
    </w:lvl>
    <w:lvl w:ilvl="8">
      <w:start w:val="1"/>
      <w:numFmt w:val="bullet"/>
      <w:lvlText w:val="•"/>
      <w:lvlJc w:val="left"/>
      <w:pPr>
        <w:ind w:left="7668" w:hanging="459"/>
      </w:pPr>
    </w:lvl>
  </w:abstractNum>
  <w:abstractNum w:abstractNumId="14" w15:restartNumberingAfterBreak="0">
    <w:nsid w:val="63835461"/>
    <w:multiLevelType w:val="hybridMultilevel"/>
    <w:tmpl w:val="AEB039A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944115"/>
    <w:multiLevelType w:val="hybridMultilevel"/>
    <w:tmpl w:val="0EA2A59A"/>
    <w:lvl w:ilvl="0" w:tplc="91CE0B9C">
      <w:start w:val="1"/>
      <w:numFmt w:val="lowerLetter"/>
      <w:lvlText w:val="%1)"/>
      <w:lvlJc w:val="left"/>
      <w:pPr>
        <w:ind w:left="621" w:hanging="360"/>
      </w:pPr>
      <w:rPr>
        <w:rFonts w:hint="default"/>
        <w:b/>
        <w:u w:val="none"/>
      </w:rPr>
    </w:lvl>
    <w:lvl w:ilvl="1" w:tplc="240A0019" w:tentative="1">
      <w:start w:val="1"/>
      <w:numFmt w:val="lowerLetter"/>
      <w:lvlText w:val="%2."/>
      <w:lvlJc w:val="left"/>
      <w:pPr>
        <w:ind w:left="1341" w:hanging="360"/>
      </w:pPr>
    </w:lvl>
    <w:lvl w:ilvl="2" w:tplc="240A001B" w:tentative="1">
      <w:start w:val="1"/>
      <w:numFmt w:val="lowerRoman"/>
      <w:lvlText w:val="%3."/>
      <w:lvlJc w:val="right"/>
      <w:pPr>
        <w:ind w:left="2061" w:hanging="180"/>
      </w:pPr>
    </w:lvl>
    <w:lvl w:ilvl="3" w:tplc="240A000F" w:tentative="1">
      <w:start w:val="1"/>
      <w:numFmt w:val="decimal"/>
      <w:lvlText w:val="%4."/>
      <w:lvlJc w:val="left"/>
      <w:pPr>
        <w:ind w:left="2781" w:hanging="360"/>
      </w:pPr>
    </w:lvl>
    <w:lvl w:ilvl="4" w:tplc="240A0019" w:tentative="1">
      <w:start w:val="1"/>
      <w:numFmt w:val="lowerLetter"/>
      <w:lvlText w:val="%5."/>
      <w:lvlJc w:val="left"/>
      <w:pPr>
        <w:ind w:left="3501" w:hanging="360"/>
      </w:pPr>
    </w:lvl>
    <w:lvl w:ilvl="5" w:tplc="240A001B" w:tentative="1">
      <w:start w:val="1"/>
      <w:numFmt w:val="lowerRoman"/>
      <w:lvlText w:val="%6."/>
      <w:lvlJc w:val="right"/>
      <w:pPr>
        <w:ind w:left="4221" w:hanging="180"/>
      </w:pPr>
    </w:lvl>
    <w:lvl w:ilvl="6" w:tplc="240A000F" w:tentative="1">
      <w:start w:val="1"/>
      <w:numFmt w:val="decimal"/>
      <w:lvlText w:val="%7."/>
      <w:lvlJc w:val="left"/>
      <w:pPr>
        <w:ind w:left="4941" w:hanging="360"/>
      </w:pPr>
    </w:lvl>
    <w:lvl w:ilvl="7" w:tplc="240A0019" w:tentative="1">
      <w:start w:val="1"/>
      <w:numFmt w:val="lowerLetter"/>
      <w:lvlText w:val="%8."/>
      <w:lvlJc w:val="left"/>
      <w:pPr>
        <w:ind w:left="5661" w:hanging="360"/>
      </w:pPr>
    </w:lvl>
    <w:lvl w:ilvl="8" w:tplc="240A001B" w:tentative="1">
      <w:start w:val="1"/>
      <w:numFmt w:val="lowerRoman"/>
      <w:lvlText w:val="%9."/>
      <w:lvlJc w:val="right"/>
      <w:pPr>
        <w:ind w:left="6381" w:hanging="180"/>
      </w:pPr>
    </w:lvl>
  </w:abstractNum>
  <w:abstractNum w:abstractNumId="16" w15:restartNumberingAfterBreak="0">
    <w:nsid w:val="70DF6358"/>
    <w:multiLevelType w:val="hybridMultilevel"/>
    <w:tmpl w:val="0576FFE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49C4376"/>
    <w:multiLevelType w:val="hybridMultilevel"/>
    <w:tmpl w:val="CB7603D2"/>
    <w:lvl w:ilvl="0" w:tplc="D8F6033A">
      <w:start w:val="1"/>
      <w:numFmt w:val="lowerLetter"/>
      <w:lvlText w:val="%1)"/>
      <w:lvlJc w:val="left"/>
      <w:pPr>
        <w:ind w:left="981" w:hanging="360"/>
      </w:pPr>
      <w:rPr>
        <w:b/>
        <w:u w:val="single"/>
      </w:rPr>
    </w:lvl>
    <w:lvl w:ilvl="1" w:tplc="240A0019" w:tentative="1">
      <w:start w:val="1"/>
      <w:numFmt w:val="lowerLetter"/>
      <w:lvlText w:val="%2."/>
      <w:lvlJc w:val="left"/>
      <w:pPr>
        <w:ind w:left="1701" w:hanging="360"/>
      </w:pPr>
    </w:lvl>
    <w:lvl w:ilvl="2" w:tplc="240A001B" w:tentative="1">
      <w:start w:val="1"/>
      <w:numFmt w:val="lowerRoman"/>
      <w:lvlText w:val="%3."/>
      <w:lvlJc w:val="right"/>
      <w:pPr>
        <w:ind w:left="2421" w:hanging="180"/>
      </w:pPr>
    </w:lvl>
    <w:lvl w:ilvl="3" w:tplc="240A000F" w:tentative="1">
      <w:start w:val="1"/>
      <w:numFmt w:val="decimal"/>
      <w:lvlText w:val="%4."/>
      <w:lvlJc w:val="left"/>
      <w:pPr>
        <w:ind w:left="3141" w:hanging="360"/>
      </w:pPr>
    </w:lvl>
    <w:lvl w:ilvl="4" w:tplc="240A0019" w:tentative="1">
      <w:start w:val="1"/>
      <w:numFmt w:val="lowerLetter"/>
      <w:lvlText w:val="%5."/>
      <w:lvlJc w:val="left"/>
      <w:pPr>
        <w:ind w:left="3861" w:hanging="360"/>
      </w:pPr>
    </w:lvl>
    <w:lvl w:ilvl="5" w:tplc="240A001B" w:tentative="1">
      <w:start w:val="1"/>
      <w:numFmt w:val="lowerRoman"/>
      <w:lvlText w:val="%6."/>
      <w:lvlJc w:val="right"/>
      <w:pPr>
        <w:ind w:left="4581" w:hanging="180"/>
      </w:pPr>
    </w:lvl>
    <w:lvl w:ilvl="6" w:tplc="240A000F" w:tentative="1">
      <w:start w:val="1"/>
      <w:numFmt w:val="decimal"/>
      <w:lvlText w:val="%7."/>
      <w:lvlJc w:val="left"/>
      <w:pPr>
        <w:ind w:left="5301" w:hanging="360"/>
      </w:pPr>
    </w:lvl>
    <w:lvl w:ilvl="7" w:tplc="240A0019" w:tentative="1">
      <w:start w:val="1"/>
      <w:numFmt w:val="lowerLetter"/>
      <w:lvlText w:val="%8."/>
      <w:lvlJc w:val="left"/>
      <w:pPr>
        <w:ind w:left="6021" w:hanging="360"/>
      </w:pPr>
    </w:lvl>
    <w:lvl w:ilvl="8" w:tplc="240A001B" w:tentative="1">
      <w:start w:val="1"/>
      <w:numFmt w:val="lowerRoman"/>
      <w:lvlText w:val="%9."/>
      <w:lvlJc w:val="right"/>
      <w:pPr>
        <w:ind w:left="6741" w:hanging="180"/>
      </w:pPr>
    </w:lvl>
  </w:abstractNum>
  <w:num w:numId="1">
    <w:abstractNumId w:val="2"/>
  </w:num>
  <w:num w:numId="2">
    <w:abstractNumId w:val="12"/>
  </w:num>
  <w:num w:numId="3">
    <w:abstractNumId w:val="17"/>
  </w:num>
  <w:num w:numId="4">
    <w:abstractNumId w:val="15"/>
  </w:num>
  <w:num w:numId="5">
    <w:abstractNumId w:val="13"/>
  </w:num>
  <w:num w:numId="6">
    <w:abstractNumId w:val="3"/>
  </w:num>
  <w:num w:numId="7">
    <w:abstractNumId w:val="11"/>
  </w:num>
  <w:num w:numId="8">
    <w:abstractNumId w:val="4"/>
  </w:num>
  <w:num w:numId="9">
    <w:abstractNumId w:val="16"/>
  </w:num>
  <w:num w:numId="10">
    <w:abstractNumId w:val="5"/>
  </w:num>
  <w:num w:numId="11">
    <w:abstractNumId w:val="1"/>
  </w:num>
  <w:num w:numId="12">
    <w:abstractNumId w:val="0"/>
  </w:num>
  <w:num w:numId="13">
    <w:abstractNumId w:val="8"/>
  </w:num>
  <w:num w:numId="14">
    <w:abstractNumId w:val="14"/>
  </w:num>
  <w:num w:numId="15">
    <w:abstractNumId w:val="6"/>
  </w:num>
  <w:num w:numId="16">
    <w:abstractNumId w:val="7"/>
  </w:num>
  <w:num w:numId="17">
    <w:abstractNumId w:val="9"/>
  </w:num>
  <w:num w:numId="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238"/>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4C6"/>
    <w:rsid w:val="0005764D"/>
    <w:rsid w:val="00061172"/>
    <w:rsid w:val="00061D04"/>
    <w:rsid w:val="00062D9C"/>
    <w:rsid w:val="00063138"/>
    <w:rsid w:val="0006405F"/>
    <w:rsid w:val="000646E7"/>
    <w:rsid w:val="00065EC1"/>
    <w:rsid w:val="00075E9A"/>
    <w:rsid w:val="00080475"/>
    <w:rsid w:val="00082027"/>
    <w:rsid w:val="00082718"/>
    <w:rsid w:val="000850AF"/>
    <w:rsid w:val="00087E7C"/>
    <w:rsid w:val="000911A5"/>
    <w:rsid w:val="00091304"/>
    <w:rsid w:val="00091500"/>
    <w:rsid w:val="00093146"/>
    <w:rsid w:val="00093284"/>
    <w:rsid w:val="000958D4"/>
    <w:rsid w:val="000971B7"/>
    <w:rsid w:val="000A3D97"/>
    <w:rsid w:val="000A566C"/>
    <w:rsid w:val="000B047D"/>
    <w:rsid w:val="000B2847"/>
    <w:rsid w:val="000B41A9"/>
    <w:rsid w:val="000B5E53"/>
    <w:rsid w:val="000B7E47"/>
    <w:rsid w:val="000C53A5"/>
    <w:rsid w:val="000C69AC"/>
    <w:rsid w:val="000C7339"/>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54FF"/>
    <w:rsid w:val="001E78F7"/>
    <w:rsid w:val="001F0B99"/>
    <w:rsid w:val="001F115E"/>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2552B"/>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16A6"/>
    <w:rsid w:val="00383C8B"/>
    <w:rsid w:val="00391812"/>
    <w:rsid w:val="003A01C5"/>
    <w:rsid w:val="003A0E0F"/>
    <w:rsid w:val="003A26FB"/>
    <w:rsid w:val="003A40D2"/>
    <w:rsid w:val="003A4DEC"/>
    <w:rsid w:val="003A6AE5"/>
    <w:rsid w:val="003B0F5C"/>
    <w:rsid w:val="003B2C8F"/>
    <w:rsid w:val="003B359B"/>
    <w:rsid w:val="003B3E7E"/>
    <w:rsid w:val="003B3EBB"/>
    <w:rsid w:val="003B50C1"/>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66E4"/>
    <w:rsid w:val="00487799"/>
    <w:rsid w:val="0049334F"/>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D2802"/>
    <w:rsid w:val="004D651F"/>
    <w:rsid w:val="004E04C3"/>
    <w:rsid w:val="004E674B"/>
    <w:rsid w:val="004E71FD"/>
    <w:rsid w:val="004E7DF6"/>
    <w:rsid w:val="004F1CE6"/>
    <w:rsid w:val="004F215A"/>
    <w:rsid w:val="004F4B33"/>
    <w:rsid w:val="005019B8"/>
    <w:rsid w:val="00503697"/>
    <w:rsid w:val="0051179B"/>
    <w:rsid w:val="00513432"/>
    <w:rsid w:val="005175EF"/>
    <w:rsid w:val="005206AE"/>
    <w:rsid w:val="00523669"/>
    <w:rsid w:val="005265D3"/>
    <w:rsid w:val="00527551"/>
    <w:rsid w:val="005301F9"/>
    <w:rsid w:val="00532977"/>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1B6E"/>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1490D"/>
    <w:rsid w:val="00620024"/>
    <w:rsid w:val="00622B3F"/>
    <w:rsid w:val="00622B74"/>
    <w:rsid w:val="0062628C"/>
    <w:rsid w:val="006276D2"/>
    <w:rsid w:val="0063155D"/>
    <w:rsid w:val="0063371C"/>
    <w:rsid w:val="00637559"/>
    <w:rsid w:val="00643292"/>
    <w:rsid w:val="006454C1"/>
    <w:rsid w:val="00645C61"/>
    <w:rsid w:val="00645F99"/>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1C9A"/>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5511"/>
    <w:rsid w:val="006F6B69"/>
    <w:rsid w:val="00712430"/>
    <w:rsid w:val="00713DC0"/>
    <w:rsid w:val="00716397"/>
    <w:rsid w:val="007167A5"/>
    <w:rsid w:val="00720ABC"/>
    <w:rsid w:val="00734355"/>
    <w:rsid w:val="00734B4F"/>
    <w:rsid w:val="0073621C"/>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878"/>
    <w:rsid w:val="007A4DD2"/>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2AF7"/>
    <w:rsid w:val="0080478F"/>
    <w:rsid w:val="008054C2"/>
    <w:rsid w:val="00807628"/>
    <w:rsid w:val="00813DA1"/>
    <w:rsid w:val="008246B5"/>
    <w:rsid w:val="008255F9"/>
    <w:rsid w:val="00830953"/>
    <w:rsid w:val="00832188"/>
    <w:rsid w:val="00832CEA"/>
    <w:rsid w:val="008356AE"/>
    <w:rsid w:val="00837E40"/>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A4F93"/>
    <w:rsid w:val="008B0560"/>
    <w:rsid w:val="008B0E49"/>
    <w:rsid w:val="008B2C58"/>
    <w:rsid w:val="008B33A6"/>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03FA0"/>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B4886"/>
    <w:rsid w:val="009C1657"/>
    <w:rsid w:val="009C42ED"/>
    <w:rsid w:val="009C4849"/>
    <w:rsid w:val="009C714F"/>
    <w:rsid w:val="009C7782"/>
    <w:rsid w:val="009D3CE0"/>
    <w:rsid w:val="009D422E"/>
    <w:rsid w:val="009D43DE"/>
    <w:rsid w:val="009D6D67"/>
    <w:rsid w:val="009D79E5"/>
    <w:rsid w:val="009E1ADB"/>
    <w:rsid w:val="009E52D9"/>
    <w:rsid w:val="009F068A"/>
    <w:rsid w:val="009F15CD"/>
    <w:rsid w:val="009F2514"/>
    <w:rsid w:val="009F7BF3"/>
    <w:rsid w:val="00A0409E"/>
    <w:rsid w:val="00A05691"/>
    <w:rsid w:val="00A06B48"/>
    <w:rsid w:val="00A16740"/>
    <w:rsid w:val="00A17077"/>
    <w:rsid w:val="00A17124"/>
    <w:rsid w:val="00A20232"/>
    <w:rsid w:val="00A20FB3"/>
    <w:rsid w:val="00A223A5"/>
    <w:rsid w:val="00A24B2C"/>
    <w:rsid w:val="00A26683"/>
    <w:rsid w:val="00A32626"/>
    <w:rsid w:val="00A34CA2"/>
    <w:rsid w:val="00A35669"/>
    <w:rsid w:val="00A35FFC"/>
    <w:rsid w:val="00A36045"/>
    <w:rsid w:val="00A3797C"/>
    <w:rsid w:val="00A434A6"/>
    <w:rsid w:val="00A43933"/>
    <w:rsid w:val="00A466E2"/>
    <w:rsid w:val="00A46B04"/>
    <w:rsid w:val="00A4736E"/>
    <w:rsid w:val="00A51B42"/>
    <w:rsid w:val="00A52153"/>
    <w:rsid w:val="00A5385F"/>
    <w:rsid w:val="00A55B53"/>
    <w:rsid w:val="00A63400"/>
    <w:rsid w:val="00A644B0"/>
    <w:rsid w:val="00A644EA"/>
    <w:rsid w:val="00A66C8B"/>
    <w:rsid w:val="00A738C2"/>
    <w:rsid w:val="00A739BC"/>
    <w:rsid w:val="00A74D8C"/>
    <w:rsid w:val="00A7580A"/>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C113F"/>
    <w:rsid w:val="00AC5DB8"/>
    <w:rsid w:val="00AD05D9"/>
    <w:rsid w:val="00AD580C"/>
    <w:rsid w:val="00AE1D51"/>
    <w:rsid w:val="00AE5DE7"/>
    <w:rsid w:val="00AE6060"/>
    <w:rsid w:val="00AF3851"/>
    <w:rsid w:val="00AF6350"/>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10B03"/>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67FD9"/>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4D61"/>
    <w:rsid w:val="00CC61DB"/>
    <w:rsid w:val="00CD0A9B"/>
    <w:rsid w:val="00CD48FC"/>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05CA"/>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64CC"/>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26387"/>
    <w:rsid w:val="00E302D2"/>
    <w:rsid w:val="00E312A9"/>
    <w:rsid w:val="00E321F6"/>
    <w:rsid w:val="00E40C87"/>
    <w:rsid w:val="00E42F28"/>
    <w:rsid w:val="00E4662B"/>
    <w:rsid w:val="00E47A08"/>
    <w:rsid w:val="00E500D1"/>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06DB"/>
    <w:rsid w:val="00ED138F"/>
    <w:rsid w:val="00ED3481"/>
    <w:rsid w:val="00ED3D0E"/>
    <w:rsid w:val="00EE2BD6"/>
    <w:rsid w:val="00EE4766"/>
    <w:rsid w:val="00EE4B54"/>
    <w:rsid w:val="00EE5220"/>
    <w:rsid w:val="00EE73BD"/>
    <w:rsid w:val="00EF3669"/>
    <w:rsid w:val="00EF373F"/>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0969"/>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2CFD"/>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table" w:customStyle="1" w:styleId="Tablaconcuadrcula1">
    <w:name w:val="Tabla con cuadrícula1"/>
    <w:basedOn w:val="Tablanormal"/>
    <w:next w:val="Tablaconcuadrcula"/>
    <w:uiPriority w:val="39"/>
    <w:rsid w:val="000A56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4D50-B9E1-4D01-BE56-E1521E14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2342</Words>
  <Characters>12886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2021-12-15T22:53:00Z</dcterms:created>
  <dcterms:modified xsi:type="dcterms:W3CDTF">2021-12-15T22:53:00Z</dcterms:modified>
</cp:coreProperties>
</file>